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0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207645</wp:posOffset>
            </wp:positionH>
            <wp:positionV relativeFrom="page">
              <wp:posOffset>224155</wp:posOffset>
            </wp:positionV>
            <wp:extent cx="7134225"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4225" cy="25400"/>
                    </a:xfrm>
                    <a:prstGeom prst="rect">
                      <a:avLst/>
                    </a:prstGeom>
                    <a:noFill/>
                  </pic:spPr>
                </pic:pic>
              </a:graphicData>
            </a:graphic>
          </wp:anchor>
        </w:drawing>
        <w:drawing>
          <wp:anchor simplePos="0" relativeHeight="251657728" behindDoc="1" locked="0" layoutInCell="0" allowOverlap="1">
            <wp:simplePos x="0" y="0"/>
            <wp:positionH relativeFrom="page">
              <wp:posOffset>207645</wp:posOffset>
            </wp:positionH>
            <wp:positionV relativeFrom="page">
              <wp:posOffset>258445</wp:posOffset>
            </wp:positionV>
            <wp:extent cx="7134225"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4225" cy="8255"/>
                    </a:xfrm>
                    <a:prstGeom prst="rect">
                      <a:avLst/>
                    </a:prstGeom>
                    <a:noFill/>
                  </pic:spPr>
                </pic:pic>
              </a:graphicData>
            </a:graphic>
          </wp:anchor>
        </w:drawing>
        <w:t>UNITED STATES</w:t>
      </w:r>
    </w:p>
    <w:p>
      <w:pPr>
        <w:spacing w:after="0" w:line="34"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SECURITIES AND EXCHANGE COMMISSION</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Washington, D.C. 20549</w:t>
      </w:r>
    </w:p>
    <w:p>
      <w:pPr>
        <w:spacing w:after="0" w:line="192"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FORM 6-K</w:t>
      </w:r>
    </w:p>
    <w:p>
      <w:pPr>
        <w:spacing w:after="0" w:line="228"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REPORT OF FOREIGN PRIVATE ISSUER</w:t>
      </w:r>
    </w:p>
    <w:p>
      <w:pPr>
        <w:spacing w:after="0" w:line="19"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PURSUANT TO RULE 13a-16 OR 15d-16 UNDER THE</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SECURITIES EXCHANGE ACT OF 1934</w:t>
      </w:r>
    </w:p>
    <w:p>
      <w:pPr>
        <w:spacing w:after="0" w:line="207"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Short Form of Press Release</w:t>
      </w:r>
    </w:p>
    <w:p>
      <w:pPr>
        <w:spacing w:after="0" w:line="220"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Commission File Number 1-11414</w:t>
      </w:r>
    </w:p>
    <w:p>
      <w:pPr>
        <w:spacing w:after="0" w:line="211"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1"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(Exact name of Registrant as specified in its Charter)</w:t>
      </w:r>
    </w:p>
    <w:p>
      <w:pPr>
        <w:spacing w:after="0" w:line="195"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1"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(Translation of Registrant’s name into English)</w:t>
      </w:r>
    </w:p>
    <w:p>
      <w:pPr>
        <w:spacing w:after="0" w:line="204"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Business Park Torre V, Ave. La Rotonda, Costa del Este</w:t>
      </w:r>
    </w:p>
    <w:p>
      <w:pPr>
        <w:spacing w:after="0" w:line="19"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P.O. Box 0819-08730</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Panama City, Republic of Panama</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(Address of Registrant’s Principal Executive Offices)</w:t>
      </w:r>
    </w:p>
    <w:p>
      <w:pPr>
        <w:spacing w:after="0" w:line="20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87" w:lineRule="exact"/>
        <w:rPr>
          <w:sz w:val="24"/>
          <w:szCs w:val="24"/>
          <w:color w:val="auto"/>
        </w:rPr>
      </w:pPr>
    </w:p>
    <w:p>
      <w:pPr>
        <w:ind w:left="4520"/>
        <w:spacing w:after="0" w:line="207" w:lineRule="exact"/>
        <w:tabs>
          <w:tab w:leader="none" w:pos="574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199" w:lineRule="exact"/>
        <w:rPr>
          <w:sz w:val="24"/>
          <w:szCs w:val="24"/>
          <w:color w:val="auto"/>
        </w:rPr>
      </w:pPr>
    </w:p>
    <w:p>
      <w:pPr>
        <w:ind w:left="512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199" w:lineRule="exact"/>
        <w:rPr>
          <w:sz w:val="24"/>
          <w:szCs w:val="24"/>
          <w:color w:val="auto"/>
        </w:rPr>
      </w:pPr>
    </w:p>
    <w:p>
      <w:pPr>
        <w:ind w:left="512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4445</wp:posOffset>
            </wp:positionH>
            <wp:positionV relativeFrom="paragraph">
              <wp:posOffset>169545</wp:posOffset>
            </wp:positionV>
            <wp:extent cx="7134225"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4225" cy="8255"/>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186690</wp:posOffset>
            </wp:positionV>
            <wp:extent cx="7134225"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4225" cy="25400"/>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483235</wp:posOffset>
            </wp:positionV>
            <wp:extent cx="7134225"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0139"/>
          </w:cols>
          <w:pgMar w:left="320" w:top="690"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4" w:lineRule="exact"/>
        <w:rPr>
          <w:sz w:val="20"/>
          <w:szCs w:val="20"/>
          <w:color w:val="auto"/>
        </w:rPr>
      </w:pPr>
    </w:p>
    <w:p>
      <w:pPr>
        <w:ind w:firstLine="640"/>
        <w:spacing w:after="0" w:line="270"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8" w:lineRule="exact"/>
        <w:rPr>
          <w:sz w:val="20"/>
          <w:szCs w:val="20"/>
          <w:color w:val="auto"/>
        </w:rPr>
      </w:pPr>
    </w:p>
    <w:p>
      <w:pPr>
        <w:spacing w:after="0"/>
        <w:rPr>
          <w:sz w:val="20"/>
          <w:szCs w:val="20"/>
          <w:color w:val="auto"/>
        </w:rPr>
      </w:pPr>
      <w:r>
        <w:rPr>
          <w:rFonts w:ascii="Arial" w:cs="Arial" w:eastAsia="Arial" w:hAnsi="Arial"/>
          <w:sz w:val="18"/>
          <w:szCs w:val="18"/>
          <w:color w:val="auto"/>
        </w:rPr>
        <w:t>Date: October 27, 2020</w:t>
      </w:r>
    </w:p>
    <w:p>
      <w:pPr>
        <w:spacing w:after="0" w:line="200" w:lineRule="exact"/>
        <w:rPr>
          <w:sz w:val="20"/>
          <w:szCs w:val="20"/>
          <w:color w:val="auto"/>
        </w:rPr>
      </w:pPr>
    </w:p>
    <w:p>
      <w:pPr>
        <w:spacing w:after="0" w:line="233"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19"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7" w:lineRule="exact"/>
        <w:rPr>
          <w:sz w:val="20"/>
          <w:szCs w:val="20"/>
          <w:color w:val="auto"/>
        </w:rPr>
      </w:pPr>
    </w:p>
    <w:p>
      <w:pPr>
        <w:ind w:left="6420"/>
        <w:spacing w:after="0"/>
        <w:rPr>
          <w:sz w:val="20"/>
          <w:szCs w:val="20"/>
          <w:color w:val="auto"/>
        </w:rPr>
      </w:pPr>
      <w:r>
        <w:rPr>
          <w:rFonts w:ascii="Arial" w:cs="Arial" w:eastAsia="Arial" w:hAnsi="Arial"/>
          <w:sz w:val="18"/>
          <w:szCs w:val="18"/>
          <w:color w:val="auto"/>
        </w:rPr>
        <w:t>By: /s/ Ana Graciela de Méndez</w:t>
      </w:r>
    </w:p>
    <w:p>
      <w:pPr>
        <w:spacing w:after="0" w:line="19" w:lineRule="exact"/>
        <w:rPr>
          <w:sz w:val="20"/>
          <w:szCs w:val="20"/>
          <w:color w:val="auto"/>
        </w:rPr>
      </w:pPr>
    </w:p>
    <w:p>
      <w:pPr>
        <w:ind w:left="6420"/>
        <w:spacing w:after="0"/>
        <w:rPr>
          <w:sz w:val="20"/>
          <w:szCs w:val="20"/>
          <w:color w:val="auto"/>
        </w:rPr>
      </w:pPr>
      <w:r>
        <w:rPr>
          <w:rFonts w:ascii="Arial" w:cs="Arial" w:eastAsia="Arial" w:hAnsi="Arial"/>
          <w:sz w:val="18"/>
          <w:szCs w:val="18"/>
          <w:color w:val="auto"/>
        </w:rPr>
        <w:t>Name: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4291330</wp:posOffset>
            </wp:positionH>
            <wp:positionV relativeFrom="paragraph">
              <wp:posOffset>-130175</wp:posOffset>
            </wp:positionV>
            <wp:extent cx="2846705"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846705" cy="8255"/>
                    </a:xfrm>
                    <a:prstGeom prst="rect">
                      <a:avLst/>
                    </a:prstGeom>
                    <a:noFill/>
                  </pic:spPr>
                </pic:pic>
              </a:graphicData>
            </a:graphic>
          </wp:anchor>
        </w:drawing>
      </w:r>
    </w:p>
    <w:p>
      <w:pPr>
        <w:ind w:left="642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276225</wp:posOffset>
            </wp:positionV>
            <wp:extent cx="7134225"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895"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3811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3811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spacing w:after="0" w:line="274" w:lineRule="auto"/>
        <w:rPr>
          <w:sz w:val="20"/>
          <w:szCs w:val="20"/>
          <w:color w:val="auto"/>
        </w:rPr>
      </w:pPr>
      <w:r>
        <w:rPr>
          <w:rFonts w:ascii="Arial" w:cs="Arial" w:eastAsia="Arial" w:hAnsi="Arial"/>
          <w:sz w:val="18"/>
          <w:szCs w:val="18"/>
          <w:b w:val="1"/>
          <w:bCs w:val="1"/>
          <w:color w:val="auto"/>
        </w:rPr>
        <w:t>BLADEX ANNOUNCES PROFIT FOR THE THIRD QUARTER OF $15.4 MILLION, OR $0.39 PER SHARE, PRESERVING ITS SOUND CREDIT QUALITY AND RESUMING PORTFOLIO GROWTH</w:t>
      </w:r>
    </w:p>
    <w:p>
      <w:pPr>
        <w:spacing w:after="0" w:line="16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October 27, 2020</w:t>
      </w:r>
    </w:p>
    <w:p>
      <w:pPr>
        <w:spacing w:after="0" w:line="220" w:lineRule="exact"/>
        <w:rPr>
          <w:sz w:val="20"/>
          <w:szCs w:val="20"/>
          <w:color w:val="auto"/>
        </w:rPr>
      </w:pPr>
    </w:p>
    <w:p>
      <w:pPr>
        <w:jc w:val="both"/>
        <w:spacing w:after="0" w:line="261"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third quarter (“3Q20”) and nine months (“9M20”) ended September 30, 2020.</w:t>
      </w:r>
    </w:p>
    <w:p>
      <w:pPr>
        <w:spacing w:after="0" w:line="183" w:lineRule="exact"/>
        <w:rPr>
          <w:sz w:val="20"/>
          <w:szCs w:val="20"/>
          <w:color w:val="auto"/>
        </w:rPr>
      </w:pPr>
    </w:p>
    <w:p>
      <w:pPr>
        <w:jc w:val="both"/>
        <w:spacing w:after="0" w:line="270"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580" w:type="dxa"/>
            <w:vAlign w:val="bottom"/>
          </w:tcPr>
          <w:p>
            <w:pPr>
              <w:spacing w:after="0"/>
              <w:rPr>
                <w:sz w:val="20"/>
                <w:szCs w:val="20"/>
                <w:color w:val="auto"/>
              </w:rPr>
            </w:pPr>
            <w:r>
              <w:rPr>
                <w:rFonts w:ascii="Arial" w:cs="Arial" w:eastAsia="Arial" w:hAnsi="Arial"/>
                <w:sz w:val="18"/>
                <w:szCs w:val="18"/>
                <w:b w:val="1"/>
                <w:bCs w:val="1"/>
                <w:color w:val="auto"/>
              </w:rPr>
              <w:t>FINANCIAL SNAPSHOT</w:t>
            </w:r>
          </w:p>
        </w:tc>
        <w:tc>
          <w:tcPr>
            <w:tcW w:w="2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6580" w:type="dxa"/>
            <w:vAlign w:val="bottom"/>
          </w:tcPr>
          <w:p>
            <w:pPr>
              <w:spacing w:after="0"/>
              <w:rPr>
                <w:sz w:val="20"/>
                <w:szCs w:val="20"/>
                <w:color w:val="auto"/>
              </w:rPr>
            </w:pPr>
            <w:r>
              <w:rPr>
                <w:rFonts w:ascii="Arial" w:cs="Arial" w:eastAsia="Arial" w:hAnsi="Arial"/>
                <w:sz w:val="18"/>
                <w:szCs w:val="18"/>
                <w:color w:val="auto"/>
              </w:rPr>
              <w:t>(US$ million, except percentages and</w:t>
            </w: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20" w:type="dxa"/>
            <w:vAlign w:val="bottom"/>
            <w:gridSpan w:val="2"/>
            <w:vMerge w:val="restart"/>
          </w:tcPr>
          <w:p>
            <w:pPr>
              <w:jc w:val="right"/>
              <w:ind w:right="320"/>
              <w:spacing w:after="0"/>
              <w:rPr>
                <w:sz w:val="20"/>
                <w:szCs w:val="20"/>
                <w:color w:val="auto"/>
              </w:rPr>
            </w:pPr>
            <w:r>
              <w:rPr>
                <w:rFonts w:ascii="Arial" w:cs="Arial" w:eastAsia="Arial" w:hAnsi="Arial"/>
                <w:sz w:val="18"/>
                <w:szCs w:val="18"/>
                <w:b w:val="1"/>
                <w:bCs w:val="1"/>
                <w:color w:val="auto"/>
                <w:w w:val="86"/>
              </w:rPr>
              <w:t>3Q19</w:t>
            </w:r>
          </w:p>
        </w:tc>
        <w:tc>
          <w:tcPr>
            <w:tcW w:w="0" w:type="dxa"/>
            <w:vAlign w:val="bottom"/>
          </w:tcPr>
          <w:p>
            <w:pPr>
              <w:spacing w:after="0"/>
              <w:rPr>
                <w:sz w:val="1"/>
                <w:szCs w:val="1"/>
                <w:color w:val="auto"/>
              </w:rPr>
            </w:pPr>
          </w:p>
        </w:tc>
      </w:tr>
      <w:tr>
        <w:trPr>
          <w:trHeight w:val="240"/>
        </w:trPr>
        <w:tc>
          <w:tcPr>
            <w:tcW w:w="6580" w:type="dxa"/>
            <w:vAlign w:val="bottom"/>
          </w:tcPr>
          <w:p>
            <w:pPr>
              <w:spacing w:after="0"/>
              <w:rPr>
                <w:sz w:val="20"/>
                <w:szCs w:val="20"/>
                <w:color w:val="auto"/>
              </w:rPr>
            </w:pPr>
            <w:r>
              <w:rPr>
                <w:rFonts w:ascii="Arial" w:cs="Arial" w:eastAsia="Arial" w:hAnsi="Arial"/>
                <w:sz w:val="18"/>
                <w:szCs w:val="18"/>
                <w:color w:val="auto"/>
              </w:rPr>
              <w:t>per share amounts)</w:t>
            </w:r>
          </w:p>
        </w:tc>
        <w:tc>
          <w:tcPr>
            <w:tcW w:w="2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7"/>
              </w:rPr>
              <w:t>9M20</w:t>
            </w:r>
          </w:p>
        </w:tc>
        <w:tc>
          <w:tcPr>
            <w:tcW w:w="120" w:type="dxa"/>
            <w:vAlign w:val="bottom"/>
          </w:tcPr>
          <w:p>
            <w:pPr>
              <w:spacing w:after="0"/>
              <w:rPr>
                <w:sz w:val="20"/>
                <w:szCs w:val="20"/>
                <w:color w:val="auto"/>
              </w:rPr>
            </w:pPr>
          </w:p>
        </w:tc>
        <w:tc>
          <w:tcPr>
            <w:tcW w:w="8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9M19</w:t>
            </w:r>
          </w:p>
        </w:tc>
        <w:tc>
          <w:tcPr>
            <w:tcW w:w="120" w:type="dxa"/>
            <w:vAlign w:val="bottom"/>
          </w:tcPr>
          <w:p>
            <w:pPr>
              <w:spacing w:after="0"/>
              <w:rPr>
                <w:sz w:val="20"/>
                <w:szCs w:val="20"/>
                <w:color w:val="auto"/>
              </w:rPr>
            </w:pPr>
          </w:p>
        </w:tc>
        <w:tc>
          <w:tcPr>
            <w:tcW w:w="8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9"/>
              </w:rPr>
              <w:t>3Q20</w:t>
            </w:r>
          </w:p>
        </w:tc>
        <w:tc>
          <w:tcPr>
            <w:tcW w:w="140" w:type="dxa"/>
            <w:vAlign w:val="bottom"/>
          </w:tcPr>
          <w:p>
            <w:pPr>
              <w:spacing w:after="0"/>
              <w:rPr>
                <w:sz w:val="20"/>
                <w:szCs w:val="20"/>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9"/>
              </w:rPr>
              <w:t>2Q20</w:t>
            </w: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2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08"/>
        </w:trPr>
        <w:tc>
          <w:tcPr>
            <w:tcW w:w="65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5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54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5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5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6580" w:type="dxa"/>
            <w:vAlign w:val="bottom"/>
          </w:tcPr>
          <w:p>
            <w:pPr>
              <w:spacing w:after="0"/>
              <w:rPr>
                <w:sz w:val="20"/>
                <w:szCs w:val="20"/>
                <w:color w:val="auto"/>
              </w:rPr>
            </w:pPr>
            <w:r>
              <w:rPr>
                <w:rFonts w:ascii="Arial" w:cs="Arial" w:eastAsia="Arial" w:hAnsi="Arial"/>
                <w:sz w:val="18"/>
                <w:szCs w:val="18"/>
                <w:color w:val="auto"/>
              </w:rPr>
              <w:t>Net Interest Income ("NII")</w:t>
            </w:r>
          </w:p>
        </w:tc>
        <w:tc>
          <w:tcPr>
            <w:tcW w:w="3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70.1</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tcPr>
          <w:p>
            <w:pPr>
              <w:jc w:val="right"/>
              <w:ind w:right="280"/>
              <w:spacing w:after="0"/>
              <w:rPr>
                <w:sz w:val="20"/>
                <w:szCs w:val="20"/>
                <w:color w:val="auto"/>
              </w:rPr>
            </w:pPr>
            <w:r>
              <w:rPr>
                <w:rFonts w:ascii="Arial" w:cs="Arial" w:eastAsia="Arial" w:hAnsi="Arial"/>
                <w:sz w:val="18"/>
                <w:szCs w:val="18"/>
                <w:color w:val="auto"/>
              </w:rPr>
              <w:t>82.6</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22.6</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tcPr>
          <w:p>
            <w:pPr>
              <w:jc w:val="right"/>
              <w:ind w:right="140"/>
              <w:spacing w:after="0"/>
              <w:rPr>
                <w:sz w:val="20"/>
                <w:szCs w:val="20"/>
                <w:color w:val="auto"/>
              </w:rPr>
            </w:pPr>
            <w:r>
              <w:rPr>
                <w:rFonts w:ascii="Arial" w:cs="Arial" w:eastAsia="Arial" w:hAnsi="Arial"/>
                <w:sz w:val="18"/>
                <w:szCs w:val="18"/>
                <w:color w:val="auto"/>
              </w:rPr>
              <w:t>21.7</w:t>
            </w:r>
          </w:p>
        </w:tc>
        <w:tc>
          <w:tcPr>
            <w:tcW w:w="120" w:type="dxa"/>
            <w:vAlign w:val="bottom"/>
            <w:gridSpan w:val="2"/>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tcPr>
          <w:p>
            <w:pPr>
              <w:jc w:val="right"/>
              <w:ind w:right="160"/>
              <w:spacing w:after="0"/>
              <w:rPr>
                <w:sz w:val="20"/>
                <w:szCs w:val="20"/>
                <w:color w:val="auto"/>
              </w:rPr>
            </w:pPr>
            <w:r>
              <w:rPr>
                <w:rFonts w:ascii="Arial" w:cs="Arial" w:eastAsia="Arial" w:hAnsi="Arial"/>
                <w:sz w:val="18"/>
                <w:szCs w:val="18"/>
                <w:color w:val="auto"/>
              </w:rPr>
              <w:t>26.7</w:t>
            </w:r>
          </w:p>
        </w:tc>
        <w:tc>
          <w:tcPr>
            <w:tcW w:w="0" w:type="dxa"/>
            <w:vAlign w:val="bottom"/>
          </w:tcPr>
          <w:p>
            <w:pPr>
              <w:spacing w:after="0"/>
              <w:rPr>
                <w:sz w:val="1"/>
                <w:szCs w:val="1"/>
                <w:color w:val="auto"/>
              </w:rPr>
            </w:pPr>
          </w:p>
        </w:tc>
      </w:tr>
      <w:tr>
        <w:trPr>
          <w:trHeight w:val="213"/>
        </w:trPr>
        <w:tc>
          <w:tcPr>
            <w:tcW w:w="658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7.6</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10.3</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2.6</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1.9</w:t>
            </w:r>
          </w:p>
        </w:tc>
        <w:tc>
          <w:tcPr>
            <w:tcW w:w="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w:t>
            </w:r>
          </w:p>
        </w:tc>
        <w:tc>
          <w:tcPr>
            <w:tcW w:w="0" w:type="dxa"/>
            <w:vAlign w:val="bottom"/>
          </w:tcPr>
          <w:p>
            <w:pPr>
              <w:spacing w:after="0"/>
              <w:rPr>
                <w:sz w:val="1"/>
                <w:szCs w:val="1"/>
                <w:color w:val="auto"/>
              </w:rPr>
            </w:pPr>
          </w:p>
        </w:tc>
      </w:tr>
      <w:tr>
        <w:trPr>
          <w:trHeight w:val="213"/>
        </w:trPr>
        <w:tc>
          <w:tcPr>
            <w:tcW w:w="6580" w:type="dxa"/>
            <w:vAlign w:val="bottom"/>
          </w:tcPr>
          <w:p>
            <w:pPr>
              <w:spacing w:after="0"/>
              <w:rPr>
                <w:sz w:val="20"/>
                <w:szCs w:val="20"/>
                <w:color w:val="auto"/>
              </w:rPr>
            </w:pPr>
            <w:r>
              <w:rPr>
                <w:rFonts w:ascii="Arial" w:cs="Arial" w:eastAsia="Arial" w:hAnsi="Arial"/>
                <w:sz w:val="18"/>
                <w:szCs w:val="18"/>
                <w:color w:val="auto"/>
              </w:rPr>
              <w:t>(Loss) gain on financial instruments, net</w:t>
            </w:r>
          </w:p>
        </w:tc>
        <w:tc>
          <w:tcPr>
            <w:tcW w:w="3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200"/>
              <w:spacing w:after="0"/>
              <w:rPr>
                <w:sz w:val="20"/>
                <w:szCs w:val="20"/>
                <w:color w:val="auto"/>
              </w:rPr>
            </w:pPr>
            <w:r>
              <w:rPr>
                <w:rFonts w:ascii="Arial" w:cs="Arial" w:eastAsia="Arial" w:hAnsi="Arial"/>
                <w:sz w:val="18"/>
                <w:szCs w:val="18"/>
                <w:color w:val="auto"/>
              </w:rPr>
              <w:t>(4.7)</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tcPr>
          <w:p>
            <w:pPr>
              <w:jc w:val="right"/>
              <w:ind w:right="280"/>
              <w:spacing w:after="0"/>
              <w:rPr>
                <w:sz w:val="20"/>
                <w:szCs w:val="20"/>
                <w:color w:val="auto"/>
              </w:rPr>
            </w:pPr>
            <w:r>
              <w:rPr>
                <w:rFonts w:ascii="Arial" w:cs="Arial" w:eastAsia="Arial" w:hAnsi="Arial"/>
                <w:sz w:val="18"/>
                <w:szCs w:val="18"/>
                <w:color w:val="auto"/>
              </w:rPr>
              <w:t>0.7</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tcPr>
          <w:p>
            <w:pPr>
              <w:jc w:val="right"/>
              <w:ind w:right="200"/>
              <w:spacing w:after="0"/>
              <w:rPr>
                <w:sz w:val="20"/>
                <w:szCs w:val="20"/>
                <w:color w:val="auto"/>
              </w:rPr>
            </w:pPr>
            <w:r>
              <w:rPr>
                <w:rFonts w:ascii="Arial" w:cs="Arial" w:eastAsia="Arial" w:hAnsi="Arial"/>
                <w:sz w:val="18"/>
                <w:szCs w:val="18"/>
                <w:color w:val="auto"/>
              </w:rPr>
              <w:t>(0.4)</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(3.9)</w:t>
            </w:r>
          </w:p>
        </w:tc>
        <w:tc>
          <w:tcPr>
            <w:tcW w:w="120" w:type="dxa"/>
            <w:vAlign w:val="bottom"/>
            <w:gridSpan w:val="2"/>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tcPr>
          <w:p>
            <w:pPr>
              <w:jc w:val="right"/>
              <w:ind w:right="100"/>
              <w:spacing w:after="0"/>
              <w:rPr>
                <w:sz w:val="20"/>
                <w:szCs w:val="20"/>
                <w:color w:val="auto"/>
              </w:rPr>
            </w:pPr>
            <w:r>
              <w:rPr>
                <w:rFonts w:ascii="Arial" w:cs="Arial" w:eastAsia="Arial" w:hAnsi="Arial"/>
                <w:sz w:val="18"/>
                <w:szCs w:val="18"/>
                <w:color w:val="auto"/>
              </w:rPr>
              <w:t>(0.2)</w:t>
            </w:r>
          </w:p>
        </w:tc>
        <w:tc>
          <w:tcPr>
            <w:tcW w:w="0" w:type="dxa"/>
            <w:vAlign w:val="bottom"/>
          </w:tcPr>
          <w:p>
            <w:pPr>
              <w:spacing w:after="0"/>
              <w:rPr>
                <w:sz w:val="1"/>
                <w:szCs w:val="1"/>
                <w:color w:val="auto"/>
              </w:rPr>
            </w:pPr>
          </w:p>
        </w:tc>
      </w:tr>
      <w:tr>
        <w:trPr>
          <w:trHeight w:val="213"/>
        </w:trPr>
        <w:tc>
          <w:tcPr>
            <w:tcW w:w="6580" w:type="dxa"/>
            <w:vAlign w:val="bottom"/>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73.8</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95.2</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25.2</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19.9</w:t>
            </w:r>
          </w:p>
        </w:tc>
        <w:tc>
          <w:tcPr>
            <w:tcW w:w="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29.5</w:t>
            </w:r>
          </w:p>
        </w:tc>
        <w:tc>
          <w:tcPr>
            <w:tcW w:w="0" w:type="dxa"/>
            <w:vAlign w:val="bottom"/>
          </w:tcPr>
          <w:p>
            <w:pPr>
              <w:spacing w:after="0"/>
              <w:rPr>
                <w:sz w:val="1"/>
                <w:szCs w:val="1"/>
                <w:color w:val="auto"/>
              </w:rPr>
            </w:pPr>
          </w:p>
        </w:tc>
      </w:tr>
      <w:tr>
        <w:trPr>
          <w:trHeight w:val="213"/>
        </w:trPr>
        <w:tc>
          <w:tcPr>
            <w:tcW w:w="6580" w:type="dxa"/>
            <w:vAlign w:val="bottom"/>
          </w:tcPr>
          <w:p>
            <w:pPr>
              <w:spacing w:after="0"/>
              <w:rPr>
                <w:sz w:val="20"/>
                <w:szCs w:val="20"/>
                <w:color w:val="auto"/>
              </w:rPr>
            </w:pPr>
            <w:r>
              <w:rPr>
                <w:rFonts w:ascii="Arial" w:cs="Arial" w:eastAsia="Arial" w:hAnsi="Arial"/>
                <w:sz w:val="18"/>
                <w:szCs w:val="18"/>
                <w:color w:val="auto"/>
              </w:rPr>
              <w:t>Reversal (provision) for credit losses</w:t>
            </w:r>
          </w:p>
        </w:tc>
        <w:tc>
          <w:tcPr>
            <w:tcW w:w="3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1.2</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(2.4)</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tcPr>
          <w:p>
            <w:pPr>
              <w:jc w:val="right"/>
              <w:ind w:right="200"/>
              <w:spacing w:after="0"/>
              <w:rPr>
                <w:sz w:val="20"/>
                <w:szCs w:val="20"/>
                <w:color w:val="auto"/>
              </w:rPr>
            </w:pPr>
            <w:r>
              <w:rPr>
                <w:rFonts w:ascii="Arial" w:cs="Arial" w:eastAsia="Arial" w:hAnsi="Arial"/>
                <w:sz w:val="18"/>
                <w:szCs w:val="18"/>
                <w:color w:val="auto"/>
              </w:rPr>
              <w:t>(1.5)</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tcPr>
          <w:p>
            <w:pPr>
              <w:jc w:val="right"/>
              <w:ind w:right="140"/>
              <w:spacing w:after="0"/>
              <w:rPr>
                <w:sz w:val="20"/>
                <w:szCs w:val="20"/>
                <w:color w:val="auto"/>
              </w:rPr>
            </w:pPr>
            <w:r>
              <w:rPr>
                <w:rFonts w:ascii="Arial" w:cs="Arial" w:eastAsia="Arial" w:hAnsi="Arial"/>
                <w:sz w:val="18"/>
                <w:szCs w:val="18"/>
                <w:color w:val="auto"/>
              </w:rPr>
              <w:t>2.6</w:t>
            </w:r>
          </w:p>
        </w:tc>
        <w:tc>
          <w:tcPr>
            <w:tcW w:w="120" w:type="dxa"/>
            <w:vAlign w:val="bottom"/>
            <w:gridSpan w:val="2"/>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tcPr>
          <w:p>
            <w:pPr>
              <w:jc w:val="right"/>
              <w:ind w:right="100"/>
              <w:spacing w:after="0"/>
              <w:rPr>
                <w:sz w:val="20"/>
                <w:szCs w:val="20"/>
                <w:color w:val="auto"/>
              </w:rPr>
            </w:pPr>
            <w:r>
              <w:rPr>
                <w:rFonts w:ascii="Arial" w:cs="Arial" w:eastAsia="Arial" w:hAnsi="Arial"/>
                <w:sz w:val="18"/>
                <w:szCs w:val="18"/>
                <w:color w:val="auto"/>
              </w:rPr>
              <w:t>(0.6)</w:t>
            </w:r>
          </w:p>
        </w:tc>
        <w:tc>
          <w:tcPr>
            <w:tcW w:w="0" w:type="dxa"/>
            <w:vAlign w:val="bottom"/>
          </w:tcPr>
          <w:p>
            <w:pPr>
              <w:spacing w:after="0"/>
              <w:rPr>
                <w:sz w:val="1"/>
                <w:szCs w:val="1"/>
                <w:color w:val="auto"/>
              </w:rPr>
            </w:pPr>
          </w:p>
        </w:tc>
      </w:tr>
      <w:tr>
        <w:trPr>
          <w:trHeight w:val="213"/>
        </w:trPr>
        <w:tc>
          <w:tcPr>
            <w:tcW w:w="658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(7.2)</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(9.4)</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(8.3)</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(8.3)</w:t>
            </w:r>
          </w:p>
        </w:tc>
        <w:tc>
          <w:tcPr>
            <w:tcW w:w="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(9.0)</w:t>
            </w:r>
          </w:p>
        </w:tc>
        <w:tc>
          <w:tcPr>
            <w:tcW w:w="0" w:type="dxa"/>
            <w:vAlign w:val="bottom"/>
          </w:tcPr>
          <w:p>
            <w:pPr>
              <w:spacing w:after="0"/>
              <w:rPr>
                <w:sz w:val="1"/>
                <w:szCs w:val="1"/>
                <w:color w:val="auto"/>
              </w:rPr>
            </w:pPr>
          </w:p>
        </w:tc>
      </w:tr>
      <w:tr>
        <w:trPr>
          <w:trHeight w:val="213"/>
        </w:trPr>
        <w:tc>
          <w:tcPr>
            <w:tcW w:w="6580" w:type="dxa"/>
            <w:vAlign w:val="bottom"/>
          </w:tcPr>
          <w:p>
            <w:pPr>
              <w:spacing w:after="0"/>
              <w:rPr>
                <w:sz w:val="20"/>
                <w:szCs w:val="20"/>
                <w:color w:val="auto"/>
              </w:rPr>
            </w:pPr>
            <w:r>
              <w:rPr>
                <w:rFonts w:ascii="Arial" w:cs="Arial" w:eastAsia="Arial" w:hAnsi="Arial"/>
                <w:sz w:val="18"/>
                <w:szCs w:val="18"/>
                <w:color w:val="auto"/>
              </w:rPr>
              <w:t>Profit for the period</w:t>
            </w:r>
          </w:p>
        </w:tc>
        <w:tc>
          <w:tcPr>
            <w:tcW w:w="3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47.9</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tcPr>
          <w:p>
            <w:pPr>
              <w:jc w:val="right"/>
              <w:ind w:right="280"/>
              <w:spacing w:after="0"/>
              <w:rPr>
                <w:sz w:val="20"/>
                <w:szCs w:val="20"/>
                <w:color w:val="auto"/>
              </w:rPr>
            </w:pPr>
            <w:r>
              <w:rPr>
                <w:rFonts w:ascii="Arial" w:cs="Arial" w:eastAsia="Arial" w:hAnsi="Arial"/>
                <w:sz w:val="18"/>
                <w:szCs w:val="18"/>
                <w:color w:val="auto"/>
              </w:rPr>
              <w:t>64.0</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15.4</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tcPr>
          <w:p>
            <w:pPr>
              <w:jc w:val="right"/>
              <w:ind w:right="140"/>
              <w:spacing w:after="0"/>
              <w:rPr>
                <w:sz w:val="20"/>
                <w:szCs w:val="20"/>
                <w:color w:val="auto"/>
              </w:rPr>
            </w:pPr>
            <w:r>
              <w:rPr>
                <w:rFonts w:ascii="Arial" w:cs="Arial" w:eastAsia="Arial" w:hAnsi="Arial"/>
                <w:sz w:val="18"/>
                <w:szCs w:val="18"/>
                <w:color w:val="auto"/>
              </w:rPr>
              <w:t>14.1</w:t>
            </w:r>
          </w:p>
        </w:tc>
        <w:tc>
          <w:tcPr>
            <w:tcW w:w="120" w:type="dxa"/>
            <w:vAlign w:val="bottom"/>
            <w:gridSpan w:val="2"/>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tcPr>
          <w:p>
            <w:pPr>
              <w:jc w:val="right"/>
              <w:ind w:right="160"/>
              <w:spacing w:after="0"/>
              <w:rPr>
                <w:sz w:val="20"/>
                <w:szCs w:val="20"/>
                <w:color w:val="auto"/>
              </w:rPr>
            </w:pPr>
            <w:r>
              <w:rPr>
                <w:rFonts w:ascii="Arial" w:cs="Arial" w:eastAsia="Arial" w:hAnsi="Arial"/>
                <w:sz w:val="18"/>
                <w:szCs w:val="18"/>
                <w:color w:val="auto"/>
              </w:rPr>
              <w:t>20.4</w:t>
            </w:r>
          </w:p>
        </w:tc>
        <w:tc>
          <w:tcPr>
            <w:tcW w:w="0" w:type="dxa"/>
            <w:vAlign w:val="bottom"/>
          </w:tcPr>
          <w:p>
            <w:pPr>
              <w:spacing w:after="0"/>
              <w:rPr>
                <w:sz w:val="1"/>
                <w:szCs w:val="1"/>
                <w:color w:val="auto"/>
              </w:rPr>
            </w:pPr>
          </w:p>
        </w:tc>
      </w:tr>
      <w:tr>
        <w:trPr>
          <w:trHeight w:val="213"/>
        </w:trPr>
        <w:tc>
          <w:tcPr>
            <w:tcW w:w="6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4"/>
        </w:trPr>
        <w:tc>
          <w:tcPr>
            <w:tcW w:w="6580" w:type="dxa"/>
            <w:vAlign w:val="bottom"/>
          </w:tcPr>
          <w:p>
            <w:pPr>
              <w:spacing w:after="0" w:line="253"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3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1.21</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tcPr>
          <w:p>
            <w:pPr>
              <w:jc w:val="right"/>
              <w:ind w:right="280"/>
              <w:spacing w:after="0"/>
              <w:rPr>
                <w:sz w:val="20"/>
                <w:szCs w:val="20"/>
                <w:color w:val="auto"/>
              </w:rPr>
            </w:pPr>
            <w:r>
              <w:rPr>
                <w:rFonts w:ascii="Arial" w:cs="Arial" w:eastAsia="Arial" w:hAnsi="Arial"/>
                <w:sz w:val="18"/>
                <w:szCs w:val="18"/>
                <w:color w:val="auto"/>
              </w:rPr>
              <w:t>1.62</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0.39</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tcPr>
          <w:p>
            <w:pPr>
              <w:jc w:val="right"/>
              <w:ind w:right="140"/>
              <w:spacing w:after="0"/>
              <w:rPr>
                <w:sz w:val="20"/>
                <w:szCs w:val="20"/>
                <w:color w:val="auto"/>
              </w:rPr>
            </w:pPr>
            <w:r>
              <w:rPr>
                <w:rFonts w:ascii="Arial" w:cs="Arial" w:eastAsia="Arial" w:hAnsi="Arial"/>
                <w:sz w:val="18"/>
                <w:szCs w:val="18"/>
                <w:color w:val="auto"/>
              </w:rPr>
              <w:t>0.36</w:t>
            </w:r>
          </w:p>
        </w:tc>
        <w:tc>
          <w:tcPr>
            <w:tcW w:w="120" w:type="dxa"/>
            <w:vAlign w:val="bottom"/>
            <w:gridSpan w:val="2"/>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tcPr>
          <w:p>
            <w:pPr>
              <w:jc w:val="right"/>
              <w:ind w:right="160"/>
              <w:spacing w:after="0"/>
              <w:rPr>
                <w:sz w:val="20"/>
                <w:szCs w:val="20"/>
                <w:color w:val="auto"/>
              </w:rPr>
            </w:pPr>
            <w:r>
              <w:rPr>
                <w:rFonts w:ascii="Arial" w:cs="Arial" w:eastAsia="Arial" w:hAnsi="Arial"/>
                <w:sz w:val="18"/>
                <w:szCs w:val="18"/>
                <w:color w:val="auto"/>
              </w:rPr>
              <w:t>0.52</w:t>
            </w:r>
          </w:p>
        </w:tc>
        <w:tc>
          <w:tcPr>
            <w:tcW w:w="0" w:type="dxa"/>
            <w:vAlign w:val="bottom"/>
          </w:tcPr>
          <w:p>
            <w:pPr>
              <w:spacing w:after="0"/>
              <w:rPr>
                <w:sz w:val="1"/>
                <w:szCs w:val="1"/>
                <w:color w:val="auto"/>
              </w:rPr>
            </w:pPr>
          </w:p>
        </w:tc>
      </w:tr>
      <w:tr>
        <w:trPr>
          <w:trHeight w:val="254"/>
        </w:trPr>
        <w:tc>
          <w:tcPr>
            <w:tcW w:w="658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2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6.2%</w:t>
            </w:r>
          </w:p>
        </w:tc>
        <w:tc>
          <w:tcPr>
            <w:tcW w:w="120" w:type="dxa"/>
            <w:vAlign w:val="bottom"/>
            <w:shd w:val="clear" w:color="auto" w:fill="CCEEFF"/>
          </w:tcPr>
          <w:p>
            <w:pPr>
              <w:spacing w:after="0"/>
              <w:rPr>
                <w:sz w:val="22"/>
                <w:szCs w:val="22"/>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8.5%</w:t>
            </w:r>
          </w:p>
        </w:tc>
        <w:tc>
          <w:tcPr>
            <w:tcW w:w="12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6.0%</w:t>
            </w:r>
          </w:p>
        </w:tc>
        <w:tc>
          <w:tcPr>
            <w:tcW w:w="140" w:type="dxa"/>
            <w:vAlign w:val="bottom"/>
            <w:shd w:val="clear" w:color="auto" w:fill="CCEEFF"/>
          </w:tcPr>
          <w:p>
            <w:pPr>
              <w:spacing w:after="0"/>
              <w:rPr>
                <w:sz w:val="22"/>
                <w:szCs w:val="22"/>
                <w:color w:val="auto"/>
              </w:rPr>
            </w:pP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5.5%</w:t>
            </w:r>
          </w:p>
        </w:tc>
        <w:tc>
          <w:tcPr>
            <w:tcW w:w="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8.0%</w:t>
            </w:r>
          </w:p>
        </w:tc>
        <w:tc>
          <w:tcPr>
            <w:tcW w:w="0" w:type="dxa"/>
            <w:vAlign w:val="bottom"/>
          </w:tcPr>
          <w:p>
            <w:pPr>
              <w:spacing w:after="0"/>
              <w:rPr>
                <w:sz w:val="1"/>
                <w:szCs w:val="1"/>
                <w:color w:val="auto"/>
              </w:rPr>
            </w:pPr>
          </w:p>
        </w:tc>
      </w:tr>
      <w:tr>
        <w:trPr>
          <w:trHeight w:val="213"/>
        </w:trPr>
        <w:tc>
          <w:tcPr>
            <w:tcW w:w="6580" w:type="dxa"/>
            <w:vAlign w:val="bottom"/>
          </w:tcPr>
          <w:p>
            <w:pPr>
              <w:spacing w:after="0"/>
              <w:rPr>
                <w:sz w:val="20"/>
                <w:szCs w:val="20"/>
                <w:color w:val="auto"/>
              </w:rPr>
            </w:pPr>
            <w:r>
              <w:rPr>
                <w:rFonts w:ascii="Arial" w:cs="Arial" w:eastAsia="Arial" w:hAnsi="Arial"/>
                <w:sz w:val="18"/>
                <w:szCs w:val="18"/>
                <w:color w:val="auto"/>
              </w:rPr>
              <w:t>Return on Average Assets (“ROAA”)</w:t>
            </w: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8"/>
                <w:szCs w:val="18"/>
                <w:color w:val="auto"/>
              </w:rPr>
              <w:t>0.96%</w:t>
            </w: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1.36%</w:t>
            </w:r>
          </w:p>
        </w:tc>
        <w:tc>
          <w:tcPr>
            <w:tcW w:w="120" w:type="dxa"/>
            <w:vAlign w:val="bottom"/>
          </w:tcPr>
          <w:p>
            <w:pPr>
              <w:spacing w:after="0"/>
              <w:rPr>
                <w:sz w:val="18"/>
                <w:szCs w:val="18"/>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8"/>
                <w:szCs w:val="18"/>
                <w:color w:val="auto"/>
              </w:rPr>
              <w:t>0.95%</w:t>
            </w:r>
          </w:p>
        </w:tc>
        <w:tc>
          <w:tcPr>
            <w:tcW w:w="140" w:type="dxa"/>
            <w:vAlign w:val="bottom"/>
          </w:tcPr>
          <w:p>
            <w:pPr>
              <w:spacing w:after="0"/>
              <w:rPr>
                <w:sz w:val="18"/>
                <w:szCs w:val="18"/>
                <w:color w:val="auto"/>
              </w:rPr>
            </w:pPr>
          </w:p>
        </w:tc>
        <w:tc>
          <w:tcPr>
            <w:tcW w:w="680" w:type="dxa"/>
            <w:vAlign w:val="bottom"/>
            <w:gridSpan w:val="2"/>
          </w:tcPr>
          <w:p>
            <w:pPr>
              <w:jc w:val="right"/>
              <w:spacing w:after="0"/>
              <w:rPr>
                <w:sz w:val="20"/>
                <w:szCs w:val="20"/>
                <w:color w:val="auto"/>
              </w:rPr>
            </w:pPr>
            <w:r>
              <w:rPr>
                <w:rFonts w:ascii="Arial" w:cs="Arial" w:eastAsia="Arial" w:hAnsi="Arial"/>
                <w:sz w:val="18"/>
                <w:szCs w:val="18"/>
                <w:color w:val="auto"/>
              </w:rPr>
              <w:t>0.83%</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20"/>
              <w:spacing w:after="0"/>
              <w:rPr>
                <w:sz w:val="20"/>
                <w:szCs w:val="20"/>
                <w:color w:val="auto"/>
              </w:rPr>
            </w:pPr>
            <w:r>
              <w:rPr>
                <w:rFonts w:ascii="Arial" w:cs="Arial" w:eastAsia="Arial" w:hAnsi="Arial"/>
                <w:sz w:val="18"/>
                <w:szCs w:val="18"/>
                <w:color w:val="auto"/>
              </w:rPr>
              <w:t>1.34%</w:t>
            </w:r>
          </w:p>
        </w:tc>
        <w:tc>
          <w:tcPr>
            <w:tcW w:w="0" w:type="dxa"/>
            <w:vAlign w:val="bottom"/>
          </w:tcPr>
          <w:p>
            <w:pPr>
              <w:spacing w:after="0"/>
              <w:rPr>
                <w:sz w:val="1"/>
                <w:szCs w:val="1"/>
                <w:color w:val="auto"/>
              </w:rPr>
            </w:pPr>
          </w:p>
        </w:tc>
      </w:tr>
      <w:tr>
        <w:trPr>
          <w:trHeight w:val="254"/>
        </w:trPr>
        <w:tc>
          <w:tcPr>
            <w:tcW w:w="658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2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1.43%</w:t>
            </w:r>
          </w:p>
        </w:tc>
        <w:tc>
          <w:tcPr>
            <w:tcW w:w="120" w:type="dxa"/>
            <w:vAlign w:val="bottom"/>
            <w:shd w:val="clear" w:color="auto" w:fill="CCEEFF"/>
          </w:tcPr>
          <w:p>
            <w:pPr>
              <w:spacing w:after="0"/>
              <w:rPr>
                <w:sz w:val="22"/>
                <w:szCs w:val="22"/>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1.77%</w:t>
            </w:r>
          </w:p>
        </w:tc>
        <w:tc>
          <w:tcPr>
            <w:tcW w:w="12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1.42%</w:t>
            </w:r>
          </w:p>
        </w:tc>
        <w:tc>
          <w:tcPr>
            <w:tcW w:w="140" w:type="dxa"/>
            <w:vAlign w:val="bottom"/>
            <w:shd w:val="clear" w:color="auto" w:fill="CCEEFF"/>
          </w:tcPr>
          <w:p>
            <w:pPr>
              <w:spacing w:after="0"/>
              <w:rPr>
                <w:sz w:val="22"/>
                <w:szCs w:val="22"/>
                <w:color w:val="auto"/>
              </w:rPr>
            </w:pP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1.28%</w:t>
            </w:r>
          </w:p>
        </w:tc>
        <w:tc>
          <w:tcPr>
            <w:tcW w:w="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1.77%</w:t>
            </w:r>
          </w:p>
        </w:tc>
        <w:tc>
          <w:tcPr>
            <w:tcW w:w="0" w:type="dxa"/>
            <w:vAlign w:val="bottom"/>
          </w:tcPr>
          <w:p>
            <w:pPr>
              <w:spacing w:after="0"/>
              <w:rPr>
                <w:sz w:val="1"/>
                <w:szCs w:val="1"/>
                <w:color w:val="auto"/>
              </w:rPr>
            </w:pPr>
          </w:p>
        </w:tc>
      </w:tr>
      <w:tr>
        <w:trPr>
          <w:trHeight w:val="254"/>
        </w:trPr>
        <w:tc>
          <w:tcPr>
            <w:tcW w:w="6580" w:type="dxa"/>
            <w:vAlign w:val="bottom"/>
          </w:tcPr>
          <w:p>
            <w:pPr>
              <w:spacing w:after="0" w:line="253"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2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8"/>
                <w:szCs w:val="18"/>
                <w:color w:val="auto"/>
              </w:rPr>
              <w:t>1.12%</w:t>
            </w:r>
          </w:p>
        </w:tc>
        <w:tc>
          <w:tcPr>
            <w:tcW w:w="120" w:type="dxa"/>
            <w:vAlign w:val="bottom"/>
          </w:tcPr>
          <w:p>
            <w:pPr>
              <w:spacing w:after="0"/>
              <w:rPr>
                <w:sz w:val="22"/>
                <w:szCs w:val="22"/>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120" w:type="dxa"/>
            <w:vAlign w:val="bottom"/>
          </w:tcPr>
          <w:p>
            <w:pPr>
              <w:spacing w:after="0"/>
              <w:rPr>
                <w:sz w:val="22"/>
                <w:szCs w:val="22"/>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140" w:type="dxa"/>
            <w:vAlign w:val="bottom"/>
          </w:tcPr>
          <w:p>
            <w:pPr>
              <w:spacing w:after="0"/>
              <w:rPr>
                <w:sz w:val="22"/>
                <w:szCs w:val="22"/>
                <w:color w:val="auto"/>
              </w:rPr>
            </w:pPr>
          </w:p>
        </w:tc>
        <w:tc>
          <w:tcPr>
            <w:tcW w:w="680" w:type="dxa"/>
            <w:vAlign w:val="bottom"/>
            <w:gridSpan w:val="2"/>
          </w:tcPr>
          <w:p>
            <w:pPr>
              <w:jc w:val="right"/>
              <w:spacing w:after="0"/>
              <w:rPr>
                <w:sz w:val="20"/>
                <w:szCs w:val="20"/>
                <w:color w:val="auto"/>
              </w:rPr>
            </w:pPr>
            <w:r>
              <w:rPr>
                <w:rFonts w:ascii="Arial" w:cs="Arial" w:eastAsia="Arial" w:hAnsi="Arial"/>
                <w:sz w:val="18"/>
                <w:szCs w:val="18"/>
                <w:color w:val="auto"/>
              </w:rPr>
              <w:t>1.01%</w:t>
            </w:r>
          </w:p>
        </w:tc>
        <w:tc>
          <w:tcPr>
            <w:tcW w:w="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720" w:type="dxa"/>
            <w:vAlign w:val="bottom"/>
            <w:gridSpan w:val="2"/>
          </w:tcPr>
          <w:p>
            <w:pPr>
              <w:jc w:val="right"/>
              <w:ind w:right="20"/>
              <w:spacing w:after="0"/>
              <w:rPr>
                <w:sz w:val="20"/>
                <w:szCs w:val="20"/>
                <w:color w:val="auto"/>
              </w:rPr>
            </w:pPr>
            <w:r>
              <w:rPr>
                <w:rFonts w:ascii="Arial" w:cs="Arial" w:eastAsia="Arial" w:hAnsi="Arial"/>
                <w:sz w:val="18"/>
                <w:szCs w:val="18"/>
                <w:color w:val="auto"/>
              </w:rPr>
              <w:t>1.19%</w:t>
            </w:r>
          </w:p>
        </w:tc>
        <w:tc>
          <w:tcPr>
            <w:tcW w:w="0" w:type="dxa"/>
            <w:vAlign w:val="bottom"/>
          </w:tcPr>
          <w:p>
            <w:pPr>
              <w:spacing w:after="0"/>
              <w:rPr>
                <w:sz w:val="1"/>
                <w:szCs w:val="1"/>
                <w:color w:val="auto"/>
              </w:rPr>
            </w:pPr>
          </w:p>
        </w:tc>
      </w:tr>
      <w:tr>
        <w:trPr>
          <w:trHeight w:val="254"/>
        </w:trPr>
        <w:tc>
          <w:tcPr>
            <w:tcW w:w="658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2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36.8%</w:t>
            </w:r>
          </w:p>
        </w:tc>
        <w:tc>
          <w:tcPr>
            <w:tcW w:w="120" w:type="dxa"/>
            <w:vAlign w:val="bottom"/>
            <w:shd w:val="clear" w:color="auto" w:fill="CCEEFF"/>
          </w:tcPr>
          <w:p>
            <w:pPr>
              <w:spacing w:after="0"/>
              <w:rPr>
                <w:sz w:val="22"/>
                <w:szCs w:val="22"/>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30.9%</w:t>
            </w:r>
          </w:p>
        </w:tc>
        <w:tc>
          <w:tcPr>
            <w:tcW w:w="12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33.1%</w:t>
            </w:r>
          </w:p>
        </w:tc>
        <w:tc>
          <w:tcPr>
            <w:tcW w:w="140" w:type="dxa"/>
            <w:vAlign w:val="bottom"/>
            <w:shd w:val="clear" w:color="auto" w:fill="CCEEFF"/>
          </w:tcPr>
          <w:p>
            <w:pPr>
              <w:spacing w:after="0"/>
              <w:rPr>
                <w:sz w:val="22"/>
                <w:szCs w:val="22"/>
                <w:color w:val="auto"/>
              </w:rPr>
            </w:pP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41.5%</w:t>
            </w:r>
          </w:p>
        </w:tc>
        <w:tc>
          <w:tcPr>
            <w:tcW w:w="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30.4%</w:t>
            </w:r>
          </w:p>
        </w:tc>
        <w:tc>
          <w:tcPr>
            <w:tcW w:w="0" w:type="dxa"/>
            <w:vAlign w:val="bottom"/>
          </w:tcPr>
          <w:p>
            <w:pPr>
              <w:spacing w:after="0"/>
              <w:rPr>
                <w:sz w:val="1"/>
                <w:szCs w:val="1"/>
                <w:color w:val="auto"/>
              </w:rPr>
            </w:pPr>
          </w:p>
        </w:tc>
      </w:tr>
      <w:tr>
        <w:trPr>
          <w:trHeight w:val="213"/>
        </w:trPr>
        <w:tc>
          <w:tcPr>
            <w:tcW w:w="6580" w:type="dxa"/>
            <w:vAlign w:val="bottom"/>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4"/>
        </w:trPr>
        <w:tc>
          <w:tcPr>
            <w:tcW w:w="658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Credit Portfolio </w:t>
            </w:r>
            <w:r>
              <w:rPr>
                <w:rFonts w:ascii="Arial" w:cs="Arial" w:eastAsia="Arial" w:hAnsi="Arial"/>
                <w:sz w:val="29"/>
                <w:szCs w:val="29"/>
                <w:color w:val="auto"/>
                <w:vertAlign w:val="superscript"/>
              </w:rPr>
              <w:t>(6)</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5,320</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6,302</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5,320</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5,011</w:t>
            </w:r>
          </w:p>
        </w:tc>
        <w:tc>
          <w:tcPr>
            <w:tcW w:w="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6,302</w:t>
            </w:r>
          </w:p>
        </w:tc>
        <w:tc>
          <w:tcPr>
            <w:tcW w:w="0" w:type="dxa"/>
            <w:vAlign w:val="bottom"/>
          </w:tcPr>
          <w:p>
            <w:pPr>
              <w:spacing w:after="0"/>
              <w:rPr>
                <w:sz w:val="1"/>
                <w:szCs w:val="1"/>
                <w:color w:val="auto"/>
              </w:rPr>
            </w:pPr>
          </w:p>
        </w:tc>
      </w:tr>
      <w:tr>
        <w:trPr>
          <w:trHeight w:val="254"/>
        </w:trPr>
        <w:tc>
          <w:tcPr>
            <w:tcW w:w="6580" w:type="dxa"/>
            <w:vAlign w:val="bottom"/>
          </w:tcPr>
          <w:p>
            <w:pPr>
              <w:spacing w:after="0" w:line="253"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3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5,087</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tcPr>
          <w:p>
            <w:pPr>
              <w:jc w:val="right"/>
              <w:ind w:right="280"/>
              <w:spacing w:after="0"/>
              <w:rPr>
                <w:sz w:val="20"/>
                <w:szCs w:val="20"/>
                <w:color w:val="auto"/>
              </w:rPr>
            </w:pPr>
            <w:r>
              <w:rPr>
                <w:rFonts w:ascii="Arial" w:cs="Arial" w:eastAsia="Arial" w:hAnsi="Arial"/>
                <w:sz w:val="18"/>
                <w:szCs w:val="18"/>
                <w:color w:val="auto"/>
              </w:rPr>
              <w:t>6,217</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5,087</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tcPr>
          <w:p>
            <w:pPr>
              <w:jc w:val="right"/>
              <w:ind w:right="140"/>
              <w:spacing w:after="0"/>
              <w:rPr>
                <w:sz w:val="20"/>
                <w:szCs w:val="20"/>
                <w:color w:val="auto"/>
              </w:rPr>
            </w:pPr>
            <w:r>
              <w:rPr>
                <w:rFonts w:ascii="Arial" w:cs="Arial" w:eastAsia="Arial" w:hAnsi="Arial"/>
                <w:sz w:val="18"/>
                <w:szCs w:val="18"/>
                <w:color w:val="auto"/>
              </w:rPr>
              <w:t>4,915</w:t>
            </w:r>
          </w:p>
        </w:tc>
        <w:tc>
          <w:tcPr>
            <w:tcW w:w="120" w:type="dxa"/>
            <w:vAlign w:val="bottom"/>
            <w:gridSpan w:val="2"/>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tcPr>
          <w:p>
            <w:pPr>
              <w:jc w:val="right"/>
              <w:ind w:right="160"/>
              <w:spacing w:after="0"/>
              <w:rPr>
                <w:sz w:val="20"/>
                <w:szCs w:val="20"/>
                <w:color w:val="auto"/>
              </w:rPr>
            </w:pPr>
            <w:r>
              <w:rPr>
                <w:rFonts w:ascii="Arial" w:cs="Arial" w:eastAsia="Arial" w:hAnsi="Arial"/>
                <w:sz w:val="18"/>
                <w:szCs w:val="18"/>
                <w:color w:val="auto"/>
              </w:rPr>
              <w:t>6,217</w:t>
            </w:r>
          </w:p>
        </w:tc>
        <w:tc>
          <w:tcPr>
            <w:tcW w:w="0" w:type="dxa"/>
            <w:vAlign w:val="bottom"/>
          </w:tcPr>
          <w:p>
            <w:pPr>
              <w:spacing w:after="0"/>
              <w:rPr>
                <w:sz w:val="1"/>
                <w:szCs w:val="1"/>
                <w:color w:val="auto"/>
              </w:rPr>
            </w:pPr>
          </w:p>
        </w:tc>
      </w:tr>
      <w:tr>
        <w:trPr>
          <w:trHeight w:val="213"/>
        </w:trPr>
        <w:tc>
          <w:tcPr>
            <w:tcW w:w="6580" w:type="dxa"/>
            <w:vAlign w:val="bottom"/>
            <w:shd w:val="clear" w:color="auto" w:fill="CCEEFF"/>
          </w:tcPr>
          <w:p>
            <w:pPr>
              <w:spacing w:after="0"/>
              <w:rPr>
                <w:sz w:val="20"/>
                <w:szCs w:val="20"/>
                <w:color w:val="auto"/>
              </w:rPr>
            </w:pPr>
            <w:r>
              <w:rPr>
                <w:rFonts w:ascii="Arial" w:cs="Arial" w:eastAsia="Arial" w:hAnsi="Arial"/>
                <w:sz w:val="18"/>
                <w:szCs w:val="18"/>
                <w:color w:val="auto"/>
              </w:rPr>
              <w:t>Investment Portfolio</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234</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85</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234</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96</w:t>
            </w:r>
          </w:p>
        </w:tc>
        <w:tc>
          <w:tcPr>
            <w:tcW w:w="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85</w:t>
            </w:r>
          </w:p>
        </w:tc>
        <w:tc>
          <w:tcPr>
            <w:tcW w:w="0" w:type="dxa"/>
            <w:vAlign w:val="bottom"/>
          </w:tcPr>
          <w:p>
            <w:pPr>
              <w:spacing w:after="0"/>
              <w:rPr>
                <w:sz w:val="1"/>
                <w:szCs w:val="1"/>
                <w:color w:val="auto"/>
              </w:rPr>
            </w:pPr>
          </w:p>
        </w:tc>
      </w:tr>
      <w:tr>
        <w:trPr>
          <w:trHeight w:val="213"/>
        </w:trPr>
        <w:tc>
          <w:tcPr>
            <w:tcW w:w="6580" w:type="dxa"/>
            <w:vAlign w:val="bottom"/>
          </w:tcPr>
          <w:p>
            <w:pPr>
              <w:spacing w:after="0"/>
              <w:rPr>
                <w:sz w:val="20"/>
                <w:szCs w:val="20"/>
                <w:color w:val="auto"/>
              </w:rPr>
            </w:pPr>
            <w:r>
              <w:rPr>
                <w:rFonts w:ascii="Arial" w:cs="Arial" w:eastAsia="Arial" w:hAnsi="Arial"/>
                <w:sz w:val="18"/>
                <w:szCs w:val="18"/>
                <w:color w:val="auto"/>
              </w:rPr>
              <w:t>Total assets</w:t>
            </w:r>
          </w:p>
        </w:tc>
        <w:tc>
          <w:tcPr>
            <w:tcW w:w="3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6,311</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tcPr>
          <w:p>
            <w:pPr>
              <w:jc w:val="right"/>
              <w:ind w:right="280"/>
              <w:spacing w:after="0"/>
              <w:rPr>
                <w:sz w:val="20"/>
                <w:szCs w:val="20"/>
                <w:color w:val="auto"/>
              </w:rPr>
            </w:pPr>
            <w:r>
              <w:rPr>
                <w:rFonts w:ascii="Arial" w:cs="Arial" w:eastAsia="Arial" w:hAnsi="Arial"/>
                <w:sz w:val="18"/>
                <w:szCs w:val="18"/>
                <w:color w:val="auto"/>
              </w:rPr>
              <w:t>6,681</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6,311</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tcPr>
          <w:p>
            <w:pPr>
              <w:jc w:val="right"/>
              <w:ind w:right="140"/>
              <w:spacing w:after="0"/>
              <w:rPr>
                <w:sz w:val="20"/>
                <w:szCs w:val="20"/>
                <w:color w:val="auto"/>
              </w:rPr>
            </w:pPr>
            <w:r>
              <w:rPr>
                <w:rFonts w:ascii="Arial" w:cs="Arial" w:eastAsia="Arial" w:hAnsi="Arial"/>
                <w:sz w:val="18"/>
                <w:szCs w:val="18"/>
                <w:color w:val="auto"/>
              </w:rPr>
              <w:t>6,627</w:t>
            </w:r>
          </w:p>
        </w:tc>
        <w:tc>
          <w:tcPr>
            <w:tcW w:w="120" w:type="dxa"/>
            <w:vAlign w:val="bottom"/>
            <w:gridSpan w:val="2"/>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tcPr>
          <w:p>
            <w:pPr>
              <w:jc w:val="right"/>
              <w:ind w:right="160"/>
              <w:spacing w:after="0"/>
              <w:rPr>
                <w:sz w:val="20"/>
                <w:szCs w:val="20"/>
                <w:color w:val="auto"/>
              </w:rPr>
            </w:pPr>
            <w:r>
              <w:rPr>
                <w:rFonts w:ascii="Arial" w:cs="Arial" w:eastAsia="Arial" w:hAnsi="Arial"/>
                <w:sz w:val="18"/>
                <w:szCs w:val="18"/>
                <w:color w:val="auto"/>
              </w:rPr>
              <w:t>6,681</w:t>
            </w:r>
          </w:p>
        </w:tc>
        <w:tc>
          <w:tcPr>
            <w:tcW w:w="0" w:type="dxa"/>
            <w:vAlign w:val="bottom"/>
          </w:tcPr>
          <w:p>
            <w:pPr>
              <w:spacing w:after="0"/>
              <w:rPr>
                <w:sz w:val="1"/>
                <w:szCs w:val="1"/>
                <w:color w:val="auto"/>
              </w:rPr>
            </w:pPr>
          </w:p>
        </w:tc>
      </w:tr>
      <w:tr>
        <w:trPr>
          <w:trHeight w:val="213"/>
        </w:trPr>
        <w:tc>
          <w:tcPr>
            <w:tcW w:w="6580" w:type="dxa"/>
            <w:vAlign w:val="bottom"/>
            <w:shd w:val="clear" w:color="auto" w:fill="CCEEFF"/>
          </w:tcPr>
          <w:p>
            <w:pPr>
              <w:spacing w:after="0"/>
              <w:rPr>
                <w:sz w:val="20"/>
                <w:szCs w:val="20"/>
                <w:color w:val="auto"/>
              </w:rPr>
            </w:pPr>
            <w:r>
              <w:rPr>
                <w:rFonts w:ascii="Arial" w:cs="Arial" w:eastAsia="Arial" w:hAnsi="Arial"/>
                <w:sz w:val="18"/>
                <w:szCs w:val="18"/>
                <w:color w:val="auto"/>
              </w:rPr>
              <w:t>Total equity</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1,026</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1,009</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1,026</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1,022</w:t>
            </w:r>
          </w:p>
        </w:tc>
        <w:tc>
          <w:tcPr>
            <w:tcW w:w="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1,009</w:t>
            </w:r>
          </w:p>
        </w:tc>
        <w:tc>
          <w:tcPr>
            <w:tcW w:w="0" w:type="dxa"/>
            <w:vAlign w:val="bottom"/>
          </w:tcPr>
          <w:p>
            <w:pPr>
              <w:spacing w:after="0"/>
              <w:rPr>
                <w:sz w:val="1"/>
                <w:szCs w:val="1"/>
                <w:color w:val="auto"/>
              </w:rPr>
            </w:pPr>
          </w:p>
        </w:tc>
      </w:tr>
      <w:tr>
        <w:trPr>
          <w:trHeight w:val="254"/>
        </w:trPr>
        <w:tc>
          <w:tcPr>
            <w:tcW w:w="6580" w:type="dxa"/>
            <w:vAlign w:val="bottom"/>
          </w:tcPr>
          <w:p>
            <w:pPr>
              <w:spacing w:after="0" w:line="253"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3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482</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tcPr>
          <w:p>
            <w:pPr>
              <w:jc w:val="right"/>
              <w:ind w:right="280"/>
              <w:spacing w:after="0"/>
              <w:rPr>
                <w:sz w:val="20"/>
                <w:szCs w:val="20"/>
                <w:color w:val="auto"/>
              </w:rPr>
            </w:pPr>
            <w:r>
              <w:rPr>
                <w:rFonts w:ascii="Arial" w:cs="Arial" w:eastAsia="Arial" w:hAnsi="Arial"/>
                <w:sz w:val="18"/>
                <w:szCs w:val="18"/>
                <w:color w:val="auto"/>
              </w:rPr>
              <w:t>790</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482</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gridSpan w:val="2"/>
          </w:tcPr>
          <w:p>
            <w:pPr>
              <w:jc w:val="right"/>
              <w:ind w:right="140"/>
              <w:spacing w:after="0"/>
              <w:rPr>
                <w:sz w:val="20"/>
                <w:szCs w:val="20"/>
                <w:color w:val="auto"/>
              </w:rPr>
            </w:pPr>
            <w:r>
              <w:rPr>
                <w:rFonts w:ascii="Arial" w:cs="Arial" w:eastAsia="Arial" w:hAnsi="Arial"/>
                <w:sz w:val="18"/>
                <w:szCs w:val="18"/>
                <w:color w:val="auto"/>
              </w:rPr>
              <w:t>456</w:t>
            </w:r>
          </w:p>
        </w:tc>
        <w:tc>
          <w:tcPr>
            <w:tcW w:w="120" w:type="dxa"/>
            <w:vAlign w:val="bottom"/>
            <w:gridSpan w:val="2"/>
          </w:tcPr>
          <w:p>
            <w:pPr>
              <w:jc w:val="right"/>
              <w:ind w:right="20"/>
              <w:spacing w:after="0"/>
              <w:rPr>
                <w:sz w:val="20"/>
                <w:szCs w:val="20"/>
                <w:color w:val="auto"/>
              </w:rPr>
            </w:pPr>
            <w:r>
              <w:rPr>
                <w:rFonts w:ascii="Arial" w:cs="Arial" w:eastAsia="Arial" w:hAnsi="Arial"/>
                <w:sz w:val="18"/>
                <w:szCs w:val="18"/>
                <w:color w:val="auto"/>
                <w:w w:val="79"/>
              </w:rPr>
              <w:t>$</w:t>
            </w:r>
          </w:p>
        </w:tc>
        <w:tc>
          <w:tcPr>
            <w:tcW w:w="720" w:type="dxa"/>
            <w:vAlign w:val="bottom"/>
            <w:gridSpan w:val="2"/>
          </w:tcPr>
          <w:p>
            <w:pPr>
              <w:jc w:val="right"/>
              <w:ind w:right="160"/>
              <w:spacing w:after="0"/>
              <w:rPr>
                <w:sz w:val="20"/>
                <w:szCs w:val="20"/>
                <w:color w:val="auto"/>
              </w:rPr>
            </w:pPr>
            <w:r>
              <w:rPr>
                <w:rFonts w:ascii="Arial" w:cs="Arial" w:eastAsia="Arial" w:hAnsi="Arial"/>
                <w:sz w:val="18"/>
                <w:szCs w:val="18"/>
                <w:color w:val="auto"/>
              </w:rPr>
              <w:t>790</w:t>
            </w:r>
          </w:p>
        </w:tc>
        <w:tc>
          <w:tcPr>
            <w:tcW w:w="0" w:type="dxa"/>
            <w:vAlign w:val="bottom"/>
          </w:tcPr>
          <w:p>
            <w:pPr>
              <w:spacing w:after="0"/>
              <w:rPr>
                <w:sz w:val="1"/>
                <w:szCs w:val="1"/>
                <w:color w:val="auto"/>
              </w:rPr>
            </w:pPr>
          </w:p>
        </w:tc>
      </w:tr>
      <w:tr>
        <w:trPr>
          <w:trHeight w:val="254"/>
        </w:trPr>
        <w:tc>
          <w:tcPr>
            <w:tcW w:w="658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(9)</w:t>
            </w:r>
          </w:p>
        </w:tc>
        <w:tc>
          <w:tcPr>
            <w:tcW w:w="2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26.5%</w:t>
            </w:r>
          </w:p>
        </w:tc>
        <w:tc>
          <w:tcPr>
            <w:tcW w:w="120" w:type="dxa"/>
            <w:vAlign w:val="bottom"/>
            <w:shd w:val="clear" w:color="auto" w:fill="CCEEFF"/>
          </w:tcPr>
          <w:p>
            <w:pPr>
              <w:spacing w:after="0"/>
              <w:rPr>
                <w:sz w:val="22"/>
                <w:szCs w:val="22"/>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21.1%</w:t>
            </w:r>
          </w:p>
        </w:tc>
        <w:tc>
          <w:tcPr>
            <w:tcW w:w="12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26.5%</w:t>
            </w:r>
          </w:p>
        </w:tc>
        <w:tc>
          <w:tcPr>
            <w:tcW w:w="140" w:type="dxa"/>
            <w:vAlign w:val="bottom"/>
            <w:shd w:val="clear" w:color="auto" w:fill="CCEEFF"/>
          </w:tcPr>
          <w:p>
            <w:pPr>
              <w:spacing w:after="0"/>
              <w:rPr>
                <w:sz w:val="22"/>
                <w:szCs w:val="22"/>
                <w:color w:val="auto"/>
              </w:rPr>
            </w:pP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24.8%</w:t>
            </w:r>
          </w:p>
        </w:tc>
        <w:tc>
          <w:tcPr>
            <w:tcW w:w="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21.1%</w:t>
            </w:r>
          </w:p>
        </w:tc>
        <w:tc>
          <w:tcPr>
            <w:tcW w:w="0" w:type="dxa"/>
            <w:vAlign w:val="bottom"/>
          </w:tcPr>
          <w:p>
            <w:pPr>
              <w:spacing w:after="0"/>
              <w:rPr>
                <w:sz w:val="1"/>
                <w:szCs w:val="1"/>
                <w:color w:val="auto"/>
              </w:rPr>
            </w:pPr>
          </w:p>
        </w:tc>
      </w:tr>
      <w:tr>
        <w:trPr>
          <w:trHeight w:val="213"/>
        </w:trPr>
        <w:tc>
          <w:tcPr>
            <w:tcW w:w="6580" w:type="dxa"/>
            <w:vAlign w:val="bottom"/>
          </w:tcPr>
          <w:p>
            <w:pPr>
              <w:spacing w:after="0"/>
              <w:rPr>
                <w:sz w:val="20"/>
                <w:szCs w:val="20"/>
                <w:color w:val="auto"/>
              </w:rPr>
            </w:pPr>
            <w:r>
              <w:rPr>
                <w:rFonts w:ascii="Arial" w:cs="Arial" w:eastAsia="Arial" w:hAnsi="Arial"/>
                <w:sz w:val="18"/>
                <w:szCs w:val="18"/>
                <w:color w:val="auto"/>
              </w:rPr>
              <w:t>Total assets / Total equity (times)</w:t>
            </w: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6.2</w:t>
            </w:r>
          </w:p>
        </w:tc>
        <w:tc>
          <w:tcPr>
            <w:tcW w:w="120" w:type="dxa"/>
            <w:vAlign w:val="bottom"/>
          </w:tcPr>
          <w:p>
            <w:pPr>
              <w:spacing w:after="0"/>
              <w:rPr>
                <w:sz w:val="18"/>
                <w:szCs w:val="18"/>
                <w:color w:val="auto"/>
              </w:rPr>
            </w:pPr>
          </w:p>
        </w:tc>
        <w:tc>
          <w:tcPr>
            <w:tcW w:w="820" w:type="dxa"/>
            <w:vAlign w:val="bottom"/>
            <w:gridSpan w:val="2"/>
          </w:tcPr>
          <w:p>
            <w:pPr>
              <w:jc w:val="right"/>
              <w:ind w:right="280"/>
              <w:spacing w:after="0"/>
              <w:rPr>
                <w:sz w:val="20"/>
                <w:szCs w:val="20"/>
                <w:color w:val="auto"/>
              </w:rPr>
            </w:pPr>
            <w:r>
              <w:rPr>
                <w:rFonts w:ascii="Arial" w:cs="Arial" w:eastAsia="Arial" w:hAnsi="Arial"/>
                <w:sz w:val="18"/>
                <w:szCs w:val="18"/>
                <w:color w:val="auto"/>
              </w:rPr>
              <w:t>6.6</w:t>
            </w:r>
          </w:p>
        </w:tc>
        <w:tc>
          <w:tcPr>
            <w:tcW w:w="120" w:type="dxa"/>
            <w:vAlign w:val="bottom"/>
          </w:tcPr>
          <w:p>
            <w:pPr>
              <w:spacing w:after="0"/>
              <w:rPr>
                <w:sz w:val="18"/>
                <w:szCs w:val="18"/>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6.2</w:t>
            </w:r>
          </w:p>
        </w:tc>
        <w:tc>
          <w:tcPr>
            <w:tcW w:w="140" w:type="dxa"/>
            <w:vAlign w:val="bottom"/>
          </w:tcPr>
          <w:p>
            <w:pPr>
              <w:spacing w:after="0"/>
              <w:rPr>
                <w:sz w:val="18"/>
                <w:szCs w:val="18"/>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8"/>
                <w:szCs w:val="18"/>
                <w:color w:val="auto"/>
              </w:rPr>
              <w:t>6.5</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8"/>
                <w:szCs w:val="18"/>
                <w:color w:val="auto"/>
              </w:rPr>
              <w:t>6.6</w:t>
            </w:r>
          </w:p>
        </w:tc>
        <w:tc>
          <w:tcPr>
            <w:tcW w:w="0" w:type="dxa"/>
            <w:vAlign w:val="bottom"/>
          </w:tcPr>
          <w:p>
            <w:pPr>
              <w:spacing w:after="0"/>
              <w:rPr>
                <w:sz w:val="1"/>
                <w:szCs w:val="1"/>
                <w:color w:val="auto"/>
              </w:rPr>
            </w:pPr>
          </w:p>
        </w:tc>
      </w:tr>
      <w:tr>
        <w:trPr>
          <w:trHeight w:val="254"/>
        </w:trPr>
        <w:tc>
          <w:tcPr>
            <w:tcW w:w="658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(10)</w:t>
            </w:r>
          </w:p>
        </w:tc>
        <w:tc>
          <w:tcPr>
            <w:tcW w:w="2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23.2%</w:t>
            </w:r>
          </w:p>
        </w:tc>
        <w:tc>
          <w:tcPr>
            <w:tcW w:w="120" w:type="dxa"/>
            <w:vAlign w:val="bottom"/>
            <w:shd w:val="clear" w:color="auto" w:fill="CCEEFF"/>
          </w:tcPr>
          <w:p>
            <w:pPr>
              <w:spacing w:after="0"/>
              <w:rPr>
                <w:sz w:val="22"/>
                <w:szCs w:val="22"/>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14.4%</w:t>
            </w:r>
          </w:p>
        </w:tc>
        <w:tc>
          <w:tcPr>
            <w:tcW w:w="12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23.2%</w:t>
            </w:r>
          </w:p>
        </w:tc>
        <w:tc>
          <w:tcPr>
            <w:tcW w:w="140" w:type="dxa"/>
            <w:vAlign w:val="bottom"/>
            <w:shd w:val="clear" w:color="auto" w:fill="CCEEFF"/>
          </w:tcPr>
          <w:p>
            <w:pPr>
              <w:spacing w:after="0"/>
              <w:rPr>
                <w:sz w:val="22"/>
                <w:szCs w:val="22"/>
                <w:color w:val="auto"/>
              </w:rPr>
            </w:pP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29.6%</w:t>
            </w:r>
          </w:p>
        </w:tc>
        <w:tc>
          <w:tcPr>
            <w:tcW w:w="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14.4%</w:t>
            </w:r>
          </w:p>
        </w:tc>
        <w:tc>
          <w:tcPr>
            <w:tcW w:w="0" w:type="dxa"/>
            <w:vAlign w:val="bottom"/>
          </w:tcPr>
          <w:p>
            <w:pPr>
              <w:spacing w:after="0"/>
              <w:rPr>
                <w:sz w:val="1"/>
                <w:szCs w:val="1"/>
                <w:color w:val="auto"/>
              </w:rPr>
            </w:pPr>
          </w:p>
        </w:tc>
      </w:tr>
      <w:tr>
        <w:trPr>
          <w:trHeight w:val="254"/>
        </w:trPr>
        <w:tc>
          <w:tcPr>
            <w:tcW w:w="6580" w:type="dxa"/>
            <w:vAlign w:val="bottom"/>
          </w:tcPr>
          <w:p>
            <w:pPr>
              <w:spacing w:after="0" w:line="253"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(11)</w:t>
            </w:r>
          </w:p>
        </w:tc>
        <w:tc>
          <w:tcPr>
            <w:tcW w:w="2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8"/>
                <w:szCs w:val="18"/>
                <w:color w:val="auto"/>
              </w:rPr>
              <w:t>0.00%</w:t>
            </w:r>
          </w:p>
        </w:tc>
        <w:tc>
          <w:tcPr>
            <w:tcW w:w="120" w:type="dxa"/>
            <w:vAlign w:val="bottom"/>
          </w:tcPr>
          <w:p>
            <w:pPr>
              <w:spacing w:after="0"/>
              <w:rPr>
                <w:sz w:val="22"/>
                <w:szCs w:val="22"/>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1.11%</w:t>
            </w:r>
          </w:p>
        </w:tc>
        <w:tc>
          <w:tcPr>
            <w:tcW w:w="120" w:type="dxa"/>
            <w:vAlign w:val="bottom"/>
          </w:tcPr>
          <w:p>
            <w:pPr>
              <w:spacing w:after="0"/>
              <w:rPr>
                <w:sz w:val="22"/>
                <w:szCs w:val="22"/>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8"/>
                <w:szCs w:val="18"/>
                <w:color w:val="auto"/>
              </w:rPr>
              <w:t>0.00%</w:t>
            </w:r>
          </w:p>
        </w:tc>
        <w:tc>
          <w:tcPr>
            <w:tcW w:w="140" w:type="dxa"/>
            <w:vAlign w:val="bottom"/>
          </w:tcPr>
          <w:p>
            <w:pPr>
              <w:spacing w:after="0"/>
              <w:rPr>
                <w:sz w:val="22"/>
                <w:szCs w:val="22"/>
                <w:color w:val="auto"/>
              </w:rPr>
            </w:pPr>
          </w:p>
        </w:tc>
        <w:tc>
          <w:tcPr>
            <w:tcW w:w="680" w:type="dxa"/>
            <w:vAlign w:val="bottom"/>
            <w:gridSpan w:val="2"/>
          </w:tcPr>
          <w:p>
            <w:pPr>
              <w:jc w:val="right"/>
              <w:spacing w:after="0"/>
              <w:rPr>
                <w:sz w:val="20"/>
                <w:szCs w:val="20"/>
                <w:color w:val="auto"/>
              </w:rPr>
            </w:pPr>
            <w:r>
              <w:rPr>
                <w:rFonts w:ascii="Arial" w:cs="Arial" w:eastAsia="Arial" w:hAnsi="Arial"/>
                <w:sz w:val="18"/>
                <w:szCs w:val="18"/>
                <w:color w:val="auto"/>
              </w:rPr>
              <w:t>0.00%</w:t>
            </w:r>
          </w:p>
        </w:tc>
        <w:tc>
          <w:tcPr>
            <w:tcW w:w="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720" w:type="dxa"/>
            <w:vAlign w:val="bottom"/>
            <w:gridSpan w:val="2"/>
          </w:tcPr>
          <w:p>
            <w:pPr>
              <w:jc w:val="right"/>
              <w:ind w:right="20"/>
              <w:spacing w:after="0"/>
              <w:rPr>
                <w:sz w:val="20"/>
                <w:szCs w:val="20"/>
                <w:color w:val="auto"/>
              </w:rPr>
            </w:pPr>
            <w:r>
              <w:rPr>
                <w:rFonts w:ascii="Arial" w:cs="Arial" w:eastAsia="Arial" w:hAnsi="Arial"/>
                <w:sz w:val="18"/>
                <w:szCs w:val="18"/>
                <w:color w:val="auto"/>
              </w:rPr>
              <w:t>1.11%</w:t>
            </w:r>
          </w:p>
        </w:tc>
        <w:tc>
          <w:tcPr>
            <w:tcW w:w="0" w:type="dxa"/>
            <w:vAlign w:val="bottom"/>
          </w:tcPr>
          <w:p>
            <w:pPr>
              <w:spacing w:after="0"/>
              <w:rPr>
                <w:sz w:val="1"/>
                <w:szCs w:val="1"/>
                <w:color w:val="auto"/>
              </w:rPr>
            </w:pPr>
          </w:p>
        </w:tc>
      </w:tr>
      <w:tr>
        <w:trPr>
          <w:trHeight w:val="254"/>
        </w:trPr>
        <w:tc>
          <w:tcPr>
            <w:tcW w:w="658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Total allowance for losses to Credit Portfolio </w:t>
            </w:r>
            <w:r>
              <w:rPr>
                <w:rFonts w:ascii="Arial" w:cs="Arial" w:eastAsia="Arial" w:hAnsi="Arial"/>
                <w:sz w:val="29"/>
                <w:szCs w:val="29"/>
                <w:color w:val="auto"/>
                <w:vertAlign w:val="superscript"/>
              </w:rPr>
              <w:t>(12)</w:t>
            </w:r>
          </w:p>
        </w:tc>
        <w:tc>
          <w:tcPr>
            <w:tcW w:w="2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0.84%</w:t>
            </w:r>
          </w:p>
        </w:tc>
        <w:tc>
          <w:tcPr>
            <w:tcW w:w="120" w:type="dxa"/>
            <w:vAlign w:val="bottom"/>
            <w:shd w:val="clear" w:color="auto" w:fill="CCEEFF"/>
          </w:tcPr>
          <w:p>
            <w:pPr>
              <w:spacing w:after="0"/>
              <w:rPr>
                <w:sz w:val="22"/>
                <w:szCs w:val="22"/>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1.66%</w:t>
            </w:r>
          </w:p>
        </w:tc>
        <w:tc>
          <w:tcPr>
            <w:tcW w:w="12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0.84%</w:t>
            </w:r>
          </w:p>
        </w:tc>
        <w:tc>
          <w:tcPr>
            <w:tcW w:w="140" w:type="dxa"/>
            <w:vAlign w:val="bottom"/>
            <w:shd w:val="clear" w:color="auto" w:fill="CCEEFF"/>
          </w:tcPr>
          <w:p>
            <w:pPr>
              <w:spacing w:after="0"/>
              <w:rPr>
                <w:sz w:val="22"/>
                <w:szCs w:val="22"/>
                <w:color w:val="auto"/>
              </w:rPr>
            </w:pP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0.95%</w:t>
            </w:r>
          </w:p>
        </w:tc>
        <w:tc>
          <w:tcPr>
            <w:tcW w:w="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1.66%</w:t>
            </w:r>
          </w:p>
        </w:tc>
        <w:tc>
          <w:tcPr>
            <w:tcW w:w="0" w:type="dxa"/>
            <w:vAlign w:val="bottom"/>
          </w:tcPr>
          <w:p>
            <w:pPr>
              <w:spacing w:after="0"/>
              <w:rPr>
                <w:sz w:val="1"/>
                <w:szCs w:val="1"/>
                <w:color w:val="auto"/>
              </w:rPr>
            </w:pPr>
          </w:p>
        </w:tc>
      </w:tr>
      <w:tr>
        <w:trPr>
          <w:trHeight w:val="386"/>
        </w:trPr>
        <w:tc>
          <w:tcPr>
            <w:tcW w:w="6580" w:type="dxa"/>
            <w:vAlign w:val="bottom"/>
          </w:tcPr>
          <w:p>
            <w:pPr>
              <w:spacing w:after="0"/>
              <w:rPr>
                <w:sz w:val="20"/>
                <w:szCs w:val="20"/>
                <w:color w:val="auto"/>
              </w:rPr>
            </w:pPr>
            <w:r>
              <w:rPr>
                <w:rFonts w:ascii="Arial" w:cs="Arial" w:eastAsia="Arial" w:hAnsi="Arial"/>
                <w:sz w:val="18"/>
                <w:szCs w:val="18"/>
                <w:color w:val="auto"/>
              </w:rPr>
              <w:t xml:space="preserve">Total allowance for losses to credit-impaired loans (times) </w:t>
            </w:r>
            <w:r>
              <w:rPr>
                <w:rFonts w:ascii="Arial" w:cs="Arial" w:eastAsia="Arial" w:hAnsi="Arial"/>
                <w:sz w:val="29"/>
                <w:szCs w:val="29"/>
                <w:color w:val="auto"/>
                <w:vertAlign w:val="superscript"/>
              </w:rPr>
              <w:t>(12)</w:t>
            </w: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n.m.</w:t>
            </w:r>
          </w:p>
        </w:tc>
        <w:tc>
          <w:tcPr>
            <w:tcW w:w="120" w:type="dxa"/>
            <w:vAlign w:val="bottom"/>
          </w:tcPr>
          <w:p>
            <w:pPr>
              <w:spacing w:after="0"/>
              <w:rPr>
                <w:sz w:val="24"/>
                <w:szCs w:val="24"/>
                <w:color w:val="auto"/>
              </w:rPr>
            </w:pPr>
          </w:p>
        </w:tc>
        <w:tc>
          <w:tcPr>
            <w:tcW w:w="820" w:type="dxa"/>
            <w:vAlign w:val="bottom"/>
            <w:gridSpan w:val="2"/>
          </w:tcPr>
          <w:p>
            <w:pPr>
              <w:jc w:val="right"/>
              <w:ind w:right="280"/>
              <w:spacing w:after="0"/>
              <w:rPr>
                <w:sz w:val="20"/>
                <w:szCs w:val="20"/>
                <w:color w:val="auto"/>
              </w:rPr>
            </w:pPr>
            <w:r>
              <w:rPr>
                <w:rFonts w:ascii="Arial" w:cs="Arial" w:eastAsia="Arial" w:hAnsi="Arial"/>
                <w:sz w:val="18"/>
                <w:szCs w:val="18"/>
                <w:color w:val="auto"/>
              </w:rPr>
              <w:t>1.7</w:t>
            </w:r>
          </w:p>
        </w:tc>
        <w:tc>
          <w:tcPr>
            <w:tcW w:w="120" w:type="dxa"/>
            <w:vAlign w:val="bottom"/>
          </w:tcPr>
          <w:p>
            <w:pPr>
              <w:spacing w:after="0"/>
              <w:rPr>
                <w:sz w:val="24"/>
                <w:szCs w:val="24"/>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8"/>
                <w:szCs w:val="18"/>
                <w:color w:val="auto"/>
              </w:rPr>
              <w:t>n.m.</w:t>
            </w:r>
          </w:p>
        </w:tc>
        <w:tc>
          <w:tcPr>
            <w:tcW w:w="140" w:type="dxa"/>
            <w:vAlign w:val="bottom"/>
          </w:tcPr>
          <w:p>
            <w:pPr>
              <w:spacing w:after="0"/>
              <w:rPr>
                <w:sz w:val="24"/>
                <w:szCs w:val="24"/>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8"/>
                <w:szCs w:val="18"/>
                <w:color w:val="auto"/>
              </w:rPr>
              <w:t>n.m.</w:t>
            </w: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bl>
    <w:p>
      <w:pPr>
        <w:spacing w:after="0" w:line="66" w:lineRule="exact"/>
        <w:rPr>
          <w:sz w:val="20"/>
          <w:szCs w:val="20"/>
          <w:color w:val="auto"/>
        </w:rPr>
      </w:pPr>
    </w:p>
    <w:p>
      <w:pPr>
        <w:spacing w:after="0"/>
        <w:rPr>
          <w:sz w:val="20"/>
          <w:szCs w:val="20"/>
          <w:color w:val="auto"/>
        </w:rPr>
      </w:pPr>
      <w:r>
        <w:rPr>
          <w:rFonts w:ascii="Arial" w:cs="Arial" w:eastAsia="Arial" w:hAnsi="Arial"/>
          <w:sz w:val="18"/>
          <w:szCs w:val="18"/>
          <w:color w:val="auto"/>
        </w:rPr>
        <w:t>"n.m." means not meaningful.</w:t>
      </w:r>
    </w:p>
    <w:p>
      <w:pPr>
        <w:spacing w:after="0" w:line="21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BUSINESS HIGHLIGHTS</w:t>
      </w:r>
    </w:p>
    <w:p>
      <w:pPr>
        <w:spacing w:after="0" w:line="224" w:lineRule="exact"/>
        <w:rPr>
          <w:sz w:val="20"/>
          <w:szCs w:val="20"/>
          <w:color w:val="auto"/>
        </w:rPr>
      </w:pPr>
    </w:p>
    <w:p>
      <w:pPr>
        <w:jc w:val="both"/>
        <w:ind w:left="320" w:hanging="313"/>
        <w:spacing w:after="0" w:line="306" w:lineRule="auto"/>
        <w:tabs>
          <w:tab w:leader="none" w:pos="320" w:val="left"/>
        </w:tabs>
        <w:numPr>
          <w:ilvl w:val="0"/>
          <w:numId w:val="1"/>
        </w:numPr>
        <w:rPr>
          <w:rFonts w:ascii="Arial" w:cs="Arial" w:eastAsia="Arial" w:hAnsi="Arial"/>
          <w:sz w:val="16"/>
          <w:szCs w:val="16"/>
          <w:color w:val="auto"/>
        </w:rPr>
      </w:pPr>
      <w:r>
        <w:rPr>
          <w:rFonts w:ascii="Arial" w:cs="Arial" w:eastAsia="Arial" w:hAnsi="Arial"/>
          <w:sz w:val="16"/>
          <w:szCs w:val="16"/>
          <w:color w:val="auto"/>
        </w:rPr>
        <w:t>Bladex’s unique business model has unceasingly proven to be a key advantage in the current context, allowing it to maintain a sound asset quality and to swiftly re-balance its credit risk towards defensive sectors. The Bank resumed portfolio growth during the quarter and reports sustainable results and a solid financial position, denoted by the $15.4 million Profit for the 3Q20 (+9% QoQ), with a capitalization of 26.5% Tier 1 Basel III Capital Ratio.</w:t>
      </w:r>
    </w:p>
    <w:p>
      <w:pPr>
        <w:spacing w:after="0" w:line="150" w:lineRule="exact"/>
        <w:rPr>
          <w:rFonts w:ascii="Arial" w:cs="Arial" w:eastAsia="Arial" w:hAnsi="Arial"/>
          <w:sz w:val="16"/>
          <w:szCs w:val="16"/>
          <w:color w:val="auto"/>
        </w:rPr>
      </w:pPr>
    </w:p>
    <w:p>
      <w:pPr>
        <w:ind w:left="320" w:hanging="313"/>
        <w:spacing w:after="0" w:line="270" w:lineRule="auto"/>
        <w:tabs>
          <w:tab w:leader="none" w:pos="32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Bank continued to collect almost all scheduled credit maturities (close to 100% during the 3Q20 and since the onset of Covid-19), evidencing the high quality of the Bank’s borrower base and short-term nature of its business.</w:t>
      </w:r>
    </w:p>
    <w:p>
      <w:pPr>
        <w:spacing w:after="0" w:line="174" w:lineRule="exact"/>
        <w:rPr>
          <w:rFonts w:ascii="Arial" w:cs="Arial" w:eastAsia="Arial" w:hAnsi="Arial"/>
          <w:sz w:val="18"/>
          <w:szCs w:val="18"/>
          <w:color w:val="auto"/>
        </w:rPr>
      </w:pPr>
    </w:p>
    <w:p>
      <w:pPr>
        <w:jc w:val="both"/>
        <w:ind w:left="320" w:hanging="313"/>
        <w:spacing w:after="0" w:line="333" w:lineRule="auto"/>
        <w:tabs>
          <w:tab w:leader="none" w:pos="320" w:val="left"/>
        </w:tabs>
        <w:numPr>
          <w:ilvl w:val="0"/>
          <w:numId w:val="1"/>
        </w:numPr>
        <w:rPr>
          <w:rFonts w:ascii="Arial" w:cs="Arial" w:eastAsia="Arial" w:hAnsi="Arial"/>
          <w:sz w:val="16"/>
          <w:szCs w:val="16"/>
          <w:color w:val="auto"/>
        </w:rPr>
      </w:pPr>
      <w:r>
        <w:rPr>
          <w:rFonts w:ascii="Arial" w:cs="Arial" w:eastAsia="Arial" w:hAnsi="Arial"/>
          <w:sz w:val="16"/>
          <w:szCs w:val="16"/>
          <w:color w:val="auto"/>
        </w:rPr>
        <w:t>3Q20 loan origination more than doubled from the previous quarter (+120% QoQ), still under strict credit underwriting standards, resulting in a 3% Commercial Portfolio growth, reaching $5.1 billion as of September 30, 2020, at wider credit spreads (+14 bps over Libor vs the prior quarter), although</w:t>
      </w:r>
    </w:p>
    <w:p>
      <w:pPr>
        <w:sectPr>
          <w:pgSz w:w="11900" w:h="16838" w:orient="portrait"/>
          <w:cols w:equalWidth="0" w:num="1">
            <w:col w:w="11240"/>
          </w:cols>
          <w:pgMar w:left="320" w:top="1440" w:right="339" w:bottom="0" w:gutter="0" w:footer="0" w:header="0"/>
        </w:sectPr>
      </w:pPr>
    </w:p>
    <w:bookmarkStart w:id="3" w:name="page4"/>
    <w:bookmarkEnd w:id="3"/>
    <w:p>
      <w:pPr>
        <w:ind w:left="313"/>
        <w:spacing w:after="0" w:line="270" w:lineRule="auto"/>
        <w:rPr>
          <w:sz w:val="20"/>
          <w:szCs w:val="20"/>
          <w:color w:val="auto"/>
        </w:rPr>
      </w:pPr>
      <w:r>
        <w:rPr>
          <w:rFonts w:ascii="Arial" w:cs="Arial" w:eastAsia="Arial" w:hAnsi="Arial"/>
          <w:sz w:val="18"/>
          <w:szCs w:val="18"/>
          <w:color w:val="auto"/>
        </w:rPr>
        <w:t>the size of the Commercial Portfolio is still below pre-Covid levels (-18% YoY). Considering the increase in its investment securities portfolio, the Bank’s total Credit Portfolio increased 6% QoQ.</w:t>
      </w:r>
    </w:p>
    <w:p>
      <w:pPr>
        <w:spacing w:after="0" w:line="175" w:lineRule="exact"/>
        <w:rPr>
          <w:sz w:val="20"/>
          <w:szCs w:val="20"/>
          <w:color w:val="auto"/>
        </w:rPr>
      </w:pPr>
    </w:p>
    <w:p>
      <w:pPr>
        <w:jc w:val="both"/>
        <w:ind w:left="313" w:hanging="313"/>
        <w:spacing w:after="0" w:line="281" w:lineRule="auto"/>
        <w:tabs>
          <w:tab w:leader="none" w:pos="313" w:val="left"/>
        </w:tabs>
        <w:numPr>
          <w:ilvl w:val="0"/>
          <w:numId w:val="2"/>
        </w:numPr>
        <w:rPr>
          <w:rFonts w:ascii="Arial" w:cs="Arial" w:eastAsia="Arial" w:hAnsi="Arial"/>
          <w:sz w:val="17"/>
          <w:szCs w:val="17"/>
          <w:color w:val="auto"/>
        </w:rPr>
      </w:pPr>
      <w:r>
        <w:rPr>
          <w:rFonts w:ascii="Arial" w:cs="Arial" w:eastAsia="Arial" w:hAnsi="Arial"/>
          <w:sz w:val="17"/>
          <w:szCs w:val="17"/>
          <w:color w:val="auto"/>
        </w:rPr>
        <w:t>Bladex’s portfolio remained well-diversified and focused on high quality exposures, with 59% in investment grade countries, 53% with financial institutions and 14% with sovereign and state-owned corporations. The Bank continued downsizing exposure to higher risk sectors, such as the airline industry, which has been decreased by $99 million or 67% since March 31, 2020, now representing less than 1% of total portfolio.</w:t>
      </w:r>
    </w:p>
    <w:p>
      <w:pPr>
        <w:spacing w:after="0" w:line="167" w:lineRule="exact"/>
        <w:rPr>
          <w:rFonts w:ascii="Arial" w:cs="Arial" w:eastAsia="Arial" w:hAnsi="Arial"/>
          <w:sz w:val="17"/>
          <w:szCs w:val="17"/>
          <w:color w:val="auto"/>
        </w:rPr>
      </w:pPr>
    </w:p>
    <w:p>
      <w:pPr>
        <w:jc w:val="both"/>
        <w:ind w:left="313" w:hanging="313"/>
        <w:spacing w:after="0" w:line="253"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In line with Bladex’s strategy to maintain a solid and diversified funding base to support Commercial Portfolio growth, the Bank successfully placed a 144A/RegS bond in the U.S. and international capital markets, coupled with other medium-term bilateral, syndicated and capital market transactions, while its deposit base continued to grow. In turn, the Bank has gradually reduced its liquidity position, mostly consisting of cash and due from banks, which stood at $1.5 billion (23% of Total Assets) at the end of 3Q20, a still robust level given the prevailing market uncertainty and deep economic impact of Covid-19.</w:t>
      </w:r>
    </w:p>
    <w:p>
      <w:pPr>
        <w:spacing w:after="0" w:line="189" w:lineRule="exact"/>
        <w:rPr>
          <w:rFonts w:ascii="Arial" w:cs="Arial" w:eastAsia="Arial" w:hAnsi="Arial"/>
          <w:sz w:val="18"/>
          <w:szCs w:val="18"/>
          <w:color w:val="auto"/>
        </w:rPr>
      </w:pPr>
    </w:p>
    <w:p>
      <w:pPr>
        <w:jc w:val="both"/>
        <w:ind w:left="313" w:hanging="313"/>
        <w:spacing w:after="0" w:line="258"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Net Interest Income (“NII”) and Margin (“NIM”) experienced a positive quarterly trend (+4% and +14 bps QoQ, respectively), on the widening rate differential between loans and liabilities, but still below pre-Covid levels (-15% YoY and -35 bps YoY, respectively), mostly pressured by higher average cash position levels (27% of average assets) and decreased average loan balances (by design).</w:t>
      </w:r>
    </w:p>
    <w:p>
      <w:pPr>
        <w:spacing w:after="0" w:line="186" w:lineRule="exact"/>
        <w:rPr>
          <w:rFonts w:ascii="Arial" w:cs="Arial" w:eastAsia="Arial" w:hAnsi="Arial"/>
          <w:sz w:val="18"/>
          <w:szCs w:val="18"/>
          <w:color w:val="auto"/>
        </w:rPr>
      </w:pPr>
    </w:p>
    <w:p>
      <w:pPr>
        <w:ind w:left="313" w:hanging="313"/>
        <w:spacing w:after="0" w:line="270"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Fees and commission income totaled $2.6 million for 3Q20, up 35% QoQ, mainly driven by higher fees from the letters of credit business (+28% QoQ) which is now performing at pre-Covid levels.</w:t>
      </w:r>
    </w:p>
    <w:p>
      <w:pPr>
        <w:spacing w:after="0" w:line="174" w:lineRule="exact"/>
        <w:rPr>
          <w:rFonts w:ascii="Arial" w:cs="Arial" w:eastAsia="Arial" w:hAnsi="Arial"/>
          <w:sz w:val="18"/>
          <w:szCs w:val="18"/>
          <w:color w:val="auto"/>
        </w:rPr>
      </w:pPr>
    </w:p>
    <w:p>
      <w:pPr>
        <w:jc w:val="both"/>
        <w:ind w:left="313" w:hanging="313"/>
        <w:spacing w:after="0" w:line="255"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Credit provision charges totaled $1.5 million in 3Q20, mainly on higher Credit Portfolio balances and the continuous assessment of the impact of certain country risk deteriorations on the Bank’s exposure. Asset quality remained sound with no new credit impaired transactions during the quarter, resulting in zero non-performing loans as of September 30, 2020. As of the same date, the Bank’s total allowance for credit losses represented a coverage ratio of 84 bps the total Credit Portfolio.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264160</wp:posOffset>
            </wp:positionV>
            <wp:extent cx="7134225"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33"/>
          </w:cols>
          <w:pgMar w:left="327" w:top="125" w:right="33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3811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3811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both"/>
        <w:ind w:left="320" w:hanging="313"/>
        <w:spacing w:after="0" w:line="258" w:lineRule="auto"/>
        <w:tabs>
          <w:tab w:leader="none" w:pos="320" w:val="left"/>
        </w:tabs>
        <w:numPr>
          <w:ilvl w:val="0"/>
          <w:numId w:val="3"/>
        </w:numPr>
        <w:rPr>
          <w:rFonts w:ascii="Arial" w:cs="Arial" w:eastAsia="Arial" w:hAnsi="Arial"/>
          <w:sz w:val="18"/>
          <w:szCs w:val="18"/>
          <w:color w:val="auto"/>
        </w:rPr>
      </w:pPr>
      <w:r>
        <w:rPr>
          <w:rFonts w:ascii="Arial" w:cs="Arial" w:eastAsia="Arial" w:hAnsi="Arial"/>
          <w:sz w:val="18"/>
          <w:szCs w:val="18"/>
          <w:color w:val="auto"/>
        </w:rPr>
        <w:t>Efficiency Ratio improved to 33% in 3Q20, due to higher total revenues (+27% QoQ) with stable operating expenses (+1% QoQ). YTD Operating expenses are still down $2.3 million, or 8%, YoY on lower personnel expenses, mostly due to a reduced performance-based variable compensation provision.</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Mr. Jorge Salas, Bladex’s Chief Executive Officer said: “Our third quarter results are, once again, a good reflection of our conservative approach and the resilience of our business model. The strong credit quality of Bladex’s commercial portfolio, coupled with its short-term nature, resulted in the timely collection of almost 100% of all loans at maturity. Having said that, we remain prudently cautious in the face of the great deal of uncertainty that still lies ahead in the months to come.</w:t>
      </w:r>
    </w:p>
    <w:p>
      <w:pPr>
        <w:spacing w:after="0" w:line="188"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Bladex resumed portfolio growth and, by working closely with its clients, the Bank was able to disburse over $2.2 billion, more than twice the volume disbursed in the previous quarter. This resulted in a $172 million growth, equivalent to a 3% increase of its commercial portfolio to $5.1 billion, while maintaining sound asset quality and portfolio diversification.</w:t>
      </w:r>
    </w:p>
    <w:p>
      <w:pPr>
        <w:spacing w:after="0" w:line="186"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On the liability side, the Bank’s deposit base increased by $169 million, or 6% quarter-on-quarter, with a relevant participation from our Class A shareholders, that represented 51% of total deposits by the end of September. During this last quarter, Bladex also successfully placed a new global syndication and its third issuance in the 144A/RegS market for USD $400 million, which was four times oversubscribed. At the same time, the Bank gradually reduced its liquidity position, mostly consisting of cash and due from banks, which stood at $1.5 billion at the end of 3Q20, a still robust level given the prevailing market uncertainty and deep economic impact of Covid-19.</w:t>
      </w:r>
    </w:p>
    <w:p>
      <w:pPr>
        <w:spacing w:after="0" w:line="19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With a gradual but positive trend in its levels of profitability, a strong capitalization, a resilient asset portfolio, robust levels of liquidity and a solid funding base, the Bank enjoys a strong financial position to face a challenging credit cycle in the Region. I am very proud of the way our team has come together to navigate the storm so far. There is no doubt that opportunities will keep arising as the economies re-open throughout the Region and Bladex will continue to support its clients during this uncertain time.”</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0" w:lineRule="exact"/>
        <w:rPr>
          <w:sz w:val="20"/>
          <w:szCs w:val="20"/>
          <w:color w:val="auto"/>
        </w:rPr>
      </w:pPr>
    </w:p>
    <w:p>
      <w:pPr>
        <w:ind w:left="640" w:hanging="313"/>
        <w:spacing w:after="0" w:line="339" w:lineRule="auto"/>
        <w:tabs>
          <w:tab w:leader="none" w:pos="640" w:val="left"/>
        </w:tabs>
        <w:numPr>
          <w:ilvl w:val="0"/>
          <w:numId w:val="4"/>
        </w:numPr>
        <w:rPr>
          <w:rFonts w:ascii="Arial" w:cs="Arial" w:eastAsia="Arial" w:hAnsi="Arial"/>
          <w:sz w:val="16"/>
          <w:szCs w:val="16"/>
          <w:color w:val="auto"/>
        </w:rPr>
      </w:pPr>
      <w:r>
        <w:rPr>
          <w:rFonts w:ascii="Arial" w:cs="Arial" w:eastAsia="Arial" w:hAnsi="Arial"/>
          <w:sz w:val="16"/>
          <w:szCs w:val="16"/>
          <w:b w:val="1"/>
          <w:bCs w:val="1"/>
          <w:color w:val="auto"/>
        </w:rPr>
        <w:t xml:space="preserve">Quarterly dividend payment: </w:t>
      </w:r>
      <w:r>
        <w:rPr>
          <w:rFonts w:ascii="Arial" w:cs="Arial" w:eastAsia="Arial" w:hAnsi="Arial"/>
          <w:sz w:val="16"/>
          <w:szCs w:val="16"/>
          <w:color w:val="auto"/>
        </w:rPr>
        <w:t>The Bank’s Board of Directors (the “Board”) approved a quarterly common dividend of $0.25 per share</w:t>
      </w:r>
      <w:r>
        <w:rPr>
          <w:rFonts w:ascii="Arial" w:cs="Arial" w:eastAsia="Arial" w:hAnsi="Arial"/>
          <w:sz w:val="16"/>
          <w:szCs w:val="16"/>
          <w:b w:val="1"/>
          <w:bCs w:val="1"/>
          <w:color w:val="auto"/>
        </w:rPr>
        <w:t xml:space="preserve"> </w:t>
      </w:r>
      <w:r>
        <w:rPr>
          <w:rFonts w:ascii="Arial" w:cs="Arial" w:eastAsia="Arial" w:hAnsi="Arial"/>
          <w:sz w:val="16"/>
          <w:szCs w:val="16"/>
          <w:color w:val="auto"/>
        </w:rPr>
        <w:t>corresponding to the third quarter 2020. The cash dividend will be paid on November 25, 2020, to shareholders registered as of November 9, 2020.</w:t>
      </w:r>
    </w:p>
    <w:p>
      <w:pPr>
        <w:spacing w:after="0" w:line="120" w:lineRule="exact"/>
        <w:rPr>
          <w:rFonts w:ascii="Arial" w:cs="Arial" w:eastAsia="Arial" w:hAnsi="Arial"/>
          <w:sz w:val="16"/>
          <w:szCs w:val="16"/>
          <w:color w:val="auto"/>
        </w:rPr>
      </w:pPr>
    </w:p>
    <w:p>
      <w:pPr>
        <w:jc w:val="both"/>
        <w:ind w:left="640" w:hanging="313"/>
        <w:spacing w:after="0" w:line="261" w:lineRule="auto"/>
        <w:tabs>
          <w:tab w:leader="none" w:pos="640" w:val="left"/>
        </w:tabs>
        <w:numPr>
          <w:ilvl w:val="0"/>
          <w:numId w:val="4"/>
        </w:numPr>
        <w:rPr>
          <w:rFonts w:ascii="Arial" w:cs="Arial" w:eastAsia="Arial" w:hAnsi="Arial"/>
          <w:sz w:val="18"/>
          <w:szCs w:val="18"/>
          <w:color w:val="auto"/>
        </w:rPr>
      </w:pPr>
      <w:r>
        <w:rPr>
          <w:rFonts w:ascii="Arial" w:cs="Arial" w:eastAsia="Arial" w:hAnsi="Arial"/>
          <w:sz w:val="18"/>
          <w:szCs w:val="18"/>
          <w:b w:val="1"/>
          <w:bCs w:val="1"/>
          <w:color w:val="auto"/>
        </w:rPr>
        <w:t xml:space="preserve">Bond issuance in the international capital market: </w:t>
      </w:r>
      <w:r>
        <w:rPr>
          <w:rFonts w:ascii="Arial" w:cs="Arial" w:eastAsia="Arial" w:hAnsi="Arial"/>
          <w:sz w:val="18"/>
          <w:szCs w:val="18"/>
          <w:color w:val="auto"/>
        </w:rPr>
        <w:t>On September 9, 2020, Bladex announced the successful issuance of its third bond in the</w:t>
      </w:r>
      <w:r>
        <w:rPr>
          <w:rFonts w:ascii="Arial" w:cs="Arial" w:eastAsia="Arial" w:hAnsi="Arial"/>
          <w:sz w:val="18"/>
          <w:szCs w:val="18"/>
          <w:b w:val="1"/>
          <w:bCs w:val="1"/>
          <w:color w:val="auto"/>
        </w:rPr>
        <w:t xml:space="preserve"> </w:t>
      </w:r>
      <w:r>
        <w:rPr>
          <w:rFonts w:ascii="Arial" w:cs="Arial" w:eastAsia="Arial" w:hAnsi="Arial"/>
          <w:sz w:val="18"/>
          <w:szCs w:val="18"/>
          <w:color w:val="auto"/>
        </w:rPr>
        <w:t>144A/Reg S market for US$400 million. The five-year term bonds pay a fixed rate coupon of 2.375%. This new bond, which was oversubscribed more than four times, attracted investors from the United States, Europe, Asia, and Latin America.</w:t>
      </w:r>
    </w:p>
    <w:p>
      <w:pPr>
        <w:spacing w:after="0" w:line="17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4" w:lineRule="exact"/>
        <w:rPr>
          <w:sz w:val="20"/>
          <w:szCs w:val="20"/>
          <w:color w:val="auto"/>
        </w:rPr>
      </w:pPr>
    </w:p>
    <w:p>
      <w:pPr>
        <w:ind w:left="640" w:hanging="313"/>
        <w:spacing w:after="0"/>
        <w:tabs>
          <w:tab w:leader="none" w:pos="640" w:val="left"/>
        </w:tabs>
        <w:numPr>
          <w:ilvl w:val="0"/>
          <w:numId w:val="5"/>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19" w:lineRule="exact"/>
        <w:rPr>
          <w:rFonts w:ascii="Arial" w:cs="Arial" w:eastAsia="Arial" w:hAnsi="Arial"/>
          <w:sz w:val="18"/>
          <w:szCs w:val="18"/>
          <w:color w:val="auto"/>
        </w:rPr>
      </w:pPr>
    </w:p>
    <w:p>
      <w:pPr>
        <w:ind w:left="640" w:hanging="313"/>
        <w:spacing w:after="0"/>
        <w:tabs>
          <w:tab w:leader="none" w:pos="640" w:val="left"/>
        </w:tabs>
        <w:numPr>
          <w:ilvl w:val="0"/>
          <w:numId w:val="5"/>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284480</wp:posOffset>
            </wp:positionV>
            <wp:extent cx="7134225"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337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337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4" w:lineRule="exact"/>
        <w:rPr>
          <w:sz w:val="20"/>
          <w:szCs w:val="20"/>
          <w:color w:val="auto"/>
        </w:rPr>
      </w:pPr>
    </w:p>
    <w:p>
      <w:pPr>
        <w:ind w:left="640" w:hanging="313"/>
        <w:spacing w:after="0"/>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19" w:lineRule="exact"/>
        <w:rPr>
          <w:rFonts w:ascii="Arial" w:cs="Arial" w:eastAsia="Arial" w:hAnsi="Arial"/>
          <w:sz w:val="18"/>
          <w:szCs w:val="18"/>
          <w:color w:val="auto"/>
        </w:rPr>
      </w:pPr>
    </w:p>
    <w:p>
      <w:pPr>
        <w:ind w:left="640" w:hanging="313"/>
        <w:spacing w:after="0"/>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19" w:lineRule="exact"/>
        <w:rPr>
          <w:rFonts w:ascii="Arial" w:cs="Arial" w:eastAsia="Arial" w:hAnsi="Arial"/>
          <w:sz w:val="18"/>
          <w:szCs w:val="18"/>
          <w:color w:val="auto"/>
        </w:rPr>
      </w:pPr>
    </w:p>
    <w:p>
      <w:pPr>
        <w:ind w:left="640" w:hanging="313"/>
        <w:spacing w:after="0"/>
        <w:tabs>
          <w:tab w:leader="none" w:pos="640" w:val="left"/>
        </w:tabs>
        <w:numPr>
          <w:ilvl w:val="0"/>
          <w:numId w:val="6"/>
        </w:numPr>
        <w:rPr>
          <w:rFonts w:ascii="Arial" w:cs="Arial" w:eastAsia="Arial" w:hAnsi="Arial"/>
          <w:sz w:val="17"/>
          <w:szCs w:val="17"/>
          <w:color w:val="auto"/>
        </w:rPr>
      </w:pPr>
      <w:r>
        <w:rPr>
          <w:rFonts w:ascii="Arial" w:cs="Arial" w:eastAsia="Arial" w:hAnsi="Arial"/>
          <w:sz w:val="17"/>
          <w:szCs w:val="17"/>
          <w:color w:val="auto"/>
        </w:rPr>
        <w:t>NIM refers to net interest margin which constitutes to Net Interest Income (“NII”) divided by the average balance of interest-earning assets.</w:t>
      </w:r>
    </w:p>
    <w:p>
      <w:pPr>
        <w:spacing w:after="0" w:line="231" w:lineRule="exact"/>
        <w:rPr>
          <w:rFonts w:ascii="Arial" w:cs="Arial" w:eastAsia="Arial" w:hAnsi="Arial"/>
          <w:sz w:val="17"/>
          <w:szCs w:val="17"/>
          <w:color w:val="auto"/>
        </w:rPr>
      </w:pPr>
    </w:p>
    <w:p>
      <w:pPr>
        <w:ind w:left="640" w:hanging="313"/>
        <w:spacing w:after="0" w:line="270"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4" w:lineRule="exact"/>
        <w:rPr>
          <w:rFonts w:ascii="Arial" w:cs="Arial" w:eastAsia="Arial" w:hAnsi="Arial"/>
          <w:sz w:val="18"/>
          <w:szCs w:val="18"/>
          <w:color w:val="auto"/>
        </w:rPr>
      </w:pPr>
    </w:p>
    <w:p>
      <w:pPr>
        <w:ind w:left="640" w:hanging="313"/>
        <w:spacing w:after="0"/>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19" w:lineRule="exact"/>
        <w:rPr>
          <w:rFonts w:ascii="Arial" w:cs="Arial" w:eastAsia="Arial" w:hAnsi="Arial"/>
          <w:sz w:val="18"/>
          <w:szCs w:val="18"/>
          <w:color w:val="auto"/>
        </w:rPr>
      </w:pPr>
    </w:p>
    <w:p>
      <w:pPr>
        <w:jc w:val="both"/>
        <w:ind w:left="640" w:hanging="313"/>
        <w:spacing w:after="0" w:line="281" w:lineRule="auto"/>
        <w:tabs>
          <w:tab w:leader="none" w:pos="640" w:val="left"/>
        </w:tabs>
        <w:numPr>
          <w:ilvl w:val="0"/>
          <w:numId w:val="6"/>
        </w:numPr>
        <w:rPr>
          <w:rFonts w:ascii="Arial" w:cs="Arial" w:eastAsia="Arial" w:hAnsi="Arial"/>
          <w:sz w:val="17"/>
          <w:szCs w:val="17"/>
          <w:color w:val="auto"/>
        </w:rPr>
      </w:pPr>
      <w:r>
        <w:rPr>
          <w:rFonts w:ascii="Arial" w:cs="Arial" w:eastAsia="Arial" w:hAnsi="Arial"/>
          <w:sz w:val="17"/>
          <w:szCs w:val="17"/>
          <w:color w:val="auto"/>
        </w:rPr>
        <w:t>The Bank’s “Credit Portfolio” includes gross loans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67" w:lineRule="exact"/>
        <w:rPr>
          <w:rFonts w:ascii="Arial" w:cs="Arial" w:eastAsia="Arial" w:hAnsi="Arial"/>
          <w:sz w:val="17"/>
          <w:szCs w:val="17"/>
          <w:color w:val="auto"/>
        </w:rPr>
      </w:pPr>
    </w:p>
    <w:p>
      <w:pPr>
        <w:jc w:val="both"/>
        <w:ind w:left="640" w:hanging="313"/>
        <w:spacing w:after="0" w:line="258"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6" w:lineRule="exact"/>
        <w:rPr>
          <w:rFonts w:ascii="Arial" w:cs="Arial" w:eastAsia="Arial" w:hAnsi="Arial"/>
          <w:sz w:val="18"/>
          <w:szCs w:val="18"/>
          <w:color w:val="auto"/>
        </w:rPr>
      </w:pPr>
    </w:p>
    <w:p>
      <w:pPr>
        <w:ind w:left="640" w:hanging="313"/>
        <w:spacing w:after="0"/>
        <w:tabs>
          <w:tab w:leader="none" w:pos="640" w:val="left"/>
        </w:tabs>
        <w:numPr>
          <w:ilvl w:val="0"/>
          <w:numId w:val="6"/>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2" w:lineRule="exact"/>
        <w:rPr>
          <w:rFonts w:ascii="Arial" w:cs="Arial" w:eastAsia="Arial" w:hAnsi="Arial"/>
          <w:sz w:val="16"/>
          <w:szCs w:val="16"/>
          <w:color w:val="auto"/>
        </w:rPr>
      </w:pPr>
    </w:p>
    <w:p>
      <w:pPr>
        <w:jc w:val="both"/>
        <w:ind w:left="640" w:hanging="313"/>
        <w:spacing w:after="0" w:line="258"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186" w:lineRule="exact"/>
        <w:rPr>
          <w:rFonts w:ascii="Arial" w:cs="Arial" w:eastAsia="Arial" w:hAnsi="Arial"/>
          <w:sz w:val="18"/>
          <w:szCs w:val="18"/>
          <w:color w:val="auto"/>
        </w:rPr>
      </w:pPr>
    </w:p>
    <w:p>
      <w:pPr>
        <w:jc w:val="both"/>
        <w:ind w:left="640" w:hanging="313"/>
        <w:spacing w:after="0" w:line="258"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spacing w:after="0" w:line="186" w:lineRule="exact"/>
        <w:rPr>
          <w:rFonts w:ascii="Arial" w:cs="Arial" w:eastAsia="Arial" w:hAnsi="Arial"/>
          <w:sz w:val="18"/>
          <w:szCs w:val="18"/>
          <w:color w:val="auto"/>
        </w:rPr>
      </w:pPr>
    </w:p>
    <w:p>
      <w:pPr>
        <w:ind w:left="640" w:hanging="313"/>
        <w:spacing w:after="0" w:line="270"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Credit-impaired loans are also commonly referred to as Non-Performing Loans or NPLs. Loan Portfolio refers to gross loans, excluding interest receivable, the allowance for loan losses, and unearned interest and deferred fees.</w:t>
      </w:r>
    </w:p>
    <w:p>
      <w:pPr>
        <w:spacing w:after="0" w:line="174" w:lineRule="exact"/>
        <w:rPr>
          <w:rFonts w:ascii="Arial" w:cs="Arial" w:eastAsia="Arial" w:hAnsi="Arial"/>
          <w:sz w:val="18"/>
          <w:szCs w:val="18"/>
          <w:color w:val="auto"/>
        </w:rPr>
      </w:pPr>
    </w:p>
    <w:p>
      <w:pPr>
        <w:ind w:left="640" w:hanging="313"/>
        <w:spacing w:after="0" w:line="270"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Total allowance for losses refers to allowance for loan losses plus allowance for loan commitments and financial guarantee contract losses and allowance for investment securities losses.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149225</wp:posOffset>
            </wp:positionV>
            <wp:extent cx="7138035" cy="21983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8035" cy="2198370"/>
                    </a:xfrm>
                    <a:prstGeom prst="rect">
                      <a:avLst/>
                    </a:prstGeom>
                    <a:noFill/>
                  </pic:spPr>
                </pic:pic>
              </a:graphicData>
            </a:graphic>
          </wp:anchor>
        </w:drawing>
      </w:r>
    </w:p>
    <w:p>
      <w:pPr>
        <w:spacing w:after="0" w:line="217" w:lineRule="exact"/>
        <w:rPr>
          <w:sz w:val="20"/>
          <w:szCs w:val="20"/>
          <w:color w:val="auto"/>
        </w:rPr>
      </w:pPr>
    </w:p>
    <w:p>
      <w:pPr>
        <w:jc w:val="both"/>
        <w:ind w:left="20" w:right="20"/>
        <w:spacing w:after="0" w:line="282"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200" w:lineRule="exact"/>
        <w:rPr>
          <w:sz w:val="20"/>
          <w:szCs w:val="20"/>
          <w:color w:val="auto"/>
        </w:rPr>
      </w:pPr>
    </w:p>
    <w:p>
      <w:pPr>
        <w:spacing w:after="0" w:line="210"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118"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337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337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8"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4" w:lineRule="exact"/>
        <w:rPr>
          <w:sz w:val="20"/>
          <w:szCs w:val="20"/>
          <w:color w:val="auto"/>
        </w:rPr>
      </w:pPr>
    </w:p>
    <w:p>
      <w:pPr>
        <w:ind w:right="220"/>
        <w:spacing w:after="0" w:line="296" w:lineRule="auto"/>
        <w:rPr>
          <w:sz w:val="20"/>
          <w:szCs w:val="20"/>
          <w:color w:val="auto"/>
        </w:rPr>
      </w:pPr>
      <w:r>
        <w:rPr>
          <w:rFonts w:ascii="Arial" w:cs="Arial" w:eastAsia="Arial" w:hAnsi="Arial"/>
          <w:sz w:val="16"/>
          <w:szCs w:val="16"/>
          <w:color w:val="auto"/>
        </w:rPr>
        <w:t xml:space="preserve">There will be a conference call to discuss the Bank’s quarterly results on Tuesday, October 27, 2020 at 11:00 a.m. New York City time (Eastern Time). For those interested in participating, please dial 1-877-271-1828 in the United States or, if outside the United States, 1-334-323-9871. Participants should use conference passcode 89194804#, and dial in five minutes before the call is set to begin. There will also be a live audio webcast of the conference at </w:t>
      </w:r>
      <w:r>
        <w:rPr>
          <w:rFonts w:ascii="Arial" w:cs="Arial" w:eastAsia="Arial" w:hAnsi="Arial"/>
          <w:sz w:val="16"/>
          <w:szCs w:val="16"/>
          <w:u w:val="single" w:color="auto"/>
          <w:color w:val="auto"/>
        </w:rPr>
        <w:t>http://www.bladex.com</w:t>
      </w:r>
      <w:r>
        <w:rPr>
          <w:rFonts w:ascii="Arial" w:cs="Arial" w:eastAsia="Arial" w:hAnsi="Arial"/>
          <w:sz w:val="16"/>
          <w:szCs w:val="16"/>
          <w:color w:val="auto"/>
        </w:rPr>
        <w:t xml:space="preserve">. The webcast presentation will be available for viewing and downloads on </w:t>
      </w:r>
      <w:r>
        <w:rPr>
          <w:rFonts w:ascii="Arial" w:cs="Arial" w:eastAsia="Arial" w:hAnsi="Arial"/>
          <w:sz w:val="16"/>
          <w:szCs w:val="16"/>
          <w:u w:val="single" w:color="auto"/>
          <w:color w:val="auto"/>
        </w:rPr>
        <w:t>http://www.bladex.com</w:t>
      </w:r>
      <w:r>
        <w:rPr>
          <w:rFonts w:ascii="Arial" w:cs="Arial" w:eastAsia="Arial" w:hAnsi="Arial"/>
          <w:sz w:val="16"/>
          <w:szCs w:val="16"/>
          <w:color w:val="auto"/>
        </w:rPr>
        <w:t>.</w:t>
      </w:r>
    </w:p>
    <w:p>
      <w:pPr>
        <w:spacing w:after="0" w:line="160"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2" w:lineRule="exact"/>
        <w:rPr>
          <w:sz w:val="20"/>
          <w:szCs w:val="20"/>
          <w:color w:val="auto"/>
        </w:rPr>
      </w:pPr>
    </w:p>
    <w:p>
      <w:pPr>
        <w:ind w:right="4280" w:firstLine="7"/>
        <w:spacing w:after="0" w:line="487" w:lineRule="auto"/>
        <w:tabs>
          <w:tab w:leader="none" w:pos="430" w:val="left"/>
        </w:tabs>
        <w:numPr>
          <w:ilvl w:val="0"/>
          <w:numId w:val="7"/>
        </w:numPr>
        <w:rPr>
          <w:rFonts w:ascii="Arial" w:cs="Arial" w:eastAsia="Arial" w:hAnsi="Arial"/>
          <w:sz w:val="18"/>
          <w:szCs w:val="18"/>
          <w:color w:val="auto"/>
        </w:rPr>
      </w:pPr>
      <w:r>
        <w:rPr>
          <w:rFonts w:ascii="Arial" w:cs="Arial" w:eastAsia="Arial" w:hAnsi="Arial"/>
          <w:sz w:val="18"/>
          <w:szCs w:val="18"/>
          <w:color w:val="auto"/>
        </w:rPr>
        <w:t xml:space="preserve">919-4059 or (334) 323-0140 and follow the instructions. The replay passcode is: 23850585. 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19"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6"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6"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0"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7" w:name="page8"/>
    <w:bookmarkEnd w:id="7"/>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8790305</wp:posOffset>
            </wp:positionV>
            <wp:extent cx="7134225"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4225" cy="8255"/>
                    </a:xfrm>
                    <a:prstGeom prst="rect">
                      <a:avLst/>
                    </a:prstGeom>
                    <a:noFill/>
                  </pic:spPr>
                </pic:pic>
              </a:graphicData>
            </a:graphic>
          </wp:anchor>
        </w:drawing>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337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33780"/>
                    </a:xfrm>
                    <a:prstGeom prst="rect">
                      <a:avLst/>
                    </a:prstGeom>
                    <a:noFill/>
                  </pic:spPr>
                </pic:pic>
              </a:graphicData>
            </a:graphic>
          </wp:anchor>
        </w:drawing>
        <w:drawing>
          <wp:anchor simplePos="0" relativeHeight="251657728" behindDoc="1" locked="0" layoutInCell="0" allowOverlap="1">
            <wp:simplePos x="0" y="0"/>
            <wp:positionH relativeFrom="page">
              <wp:posOffset>2672715</wp:posOffset>
            </wp:positionH>
            <wp:positionV relativeFrom="page">
              <wp:posOffset>4460875</wp:posOffset>
            </wp:positionV>
            <wp:extent cx="2211070" cy="14827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2211070" cy="1482725"/>
                    </a:xfrm>
                    <a:prstGeom prst="rect">
                      <a:avLst/>
                    </a:prstGeom>
                    <a:noFill/>
                  </pic:spPr>
                </pic:pic>
              </a:graphicData>
            </a:graphic>
          </wp:anchor>
        </w:drawing>
      </w:r>
    </w:p>
    <w:sectPr>
      <w:pgSz w:w="11900" w:h="16838"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25558EC"/>
    <w:multiLevelType w:val="hybridMultilevel"/>
    <w:lvl w:ilvl="0">
      <w:lvlJc w:val="left"/>
      <w:lvlText w:val="·"/>
      <w:numFmt w:val="bullet"/>
      <w:start w:val="1"/>
    </w:lvl>
  </w:abstractNum>
  <w:abstractNum w:abstractNumId="1">
    <w:nsid w:val="238E1F29"/>
    <w:multiLevelType w:val="hybridMultilevel"/>
    <w:lvl w:ilvl="0">
      <w:lvlJc w:val="left"/>
      <w:lvlText w:val="·"/>
      <w:numFmt w:val="bullet"/>
      <w:start w:val="1"/>
    </w:lvl>
  </w:abstractNum>
  <w:abstractNum w:abstractNumId="2">
    <w:nsid w:val="46E87CCD"/>
    <w:multiLevelType w:val="hybridMultilevel"/>
    <w:lvl w:ilvl="0">
      <w:lvlJc w:val="left"/>
      <w:lvlText w:val="·"/>
      <w:numFmt w:val="bullet"/>
      <w:start w:val="1"/>
    </w:lvl>
  </w:abstractNum>
  <w:abstractNum w:abstractNumId="3">
    <w:nsid w:val="3D1B58BA"/>
    <w:multiLevelType w:val="hybridMultilevel"/>
    <w:lvl w:ilvl="0">
      <w:lvlJc w:val="left"/>
      <w:lvlText w:val="§"/>
      <w:numFmt w:val="bullet"/>
      <w:start w:val="1"/>
    </w:lvl>
  </w:abstractNum>
  <w:abstractNum w:abstractNumId="4">
    <w:nsid w:val="507ED7AB"/>
    <w:multiLevelType w:val="hybridMultilevel"/>
    <w:lvl w:ilvl="0">
      <w:lvlJc w:val="left"/>
      <w:lvlText w:val="-"/>
      <w:numFmt w:val="bullet"/>
      <w:start w:val="1"/>
    </w:lvl>
  </w:abstractNum>
  <w:abstractNum w:abstractNumId="5">
    <w:nsid w:val="2EB141F2"/>
    <w:multiLevelType w:val="hybridMultilevel"/>
    <w:lvl w:ilvl="0">
      <w:lvlJc w:val="left"/>
      <w:lvlText w:val="%1)"/>
      <w:numFmt w:val="decimal"/>
      <w:start w:val="1"/>
    </w:lvl>
  </w:abstractNum>
  <w:abstractNum w:abstractNumId="6">
    <w:nsid w:val="41B71EFB"/>
    <w:multiLevelType w:val="hybridMultilevel"/>
    <w:lvl w:ilvl="0">
      <w:lvlJc w:val="left"/>
      <w:lvlText w:val="(%1)"/>
      <w:numFmt w:val="decimal"/>
      <w:start w:val="877"/>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jpe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jpeg"/><Relationship Id="rId26" Type="http://schemas.openxmlformats.org/officeDocument/2006/relationships/image" Target="media/image19.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2020-10-27T16:27:14Z</dcterms:created>
  <dcterms:modified xsi:type="dcterms:W3CDTF">2020-10-27T16:27:14Z</dcterms:modified>
</cp:coreProperties>
</file>